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FF2C" w14:textId="5032E86D" w:rsidR="00AE22A2" w:rsidRDefault="004800EC" w:rsidP="00AE22A2">
      <w:pPr>
        <w:pStyle w:val="Heading2"/>
        <w:spacing w:before="77"/>
        <w:jc w:val="center"/>
        <w:rPr>
          <w:color w:val="282A2A"/>
          <w:w w:val="105"/>
          <w:sz w:val="22"/>
          <w:szCs w:val="22"/>
        </w:rPr>
      </w:pPr>
      <w:r>
        <w:rPr>
          <w:rFonts w:ascii="Arial" w:hAnsi="Arial" w:cs="Arial"/>
          <w:noProof/>
          <w:lang w:val="en-GB" w:eastAsia="en-GB"/>
        </w:rPr>
        <w:drawing>
          <wp:inline distT="0" distB="0" distL="0" distR="0" wp14:anchorId="0D59DF38" wp14:editId="4528FB06">
            <wp:extent cx="573405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190625"/>
                    </a:xfrm>
                    <a:prstGeom prst="rect">
                      <a:avLst/>
                    </a:prstGeom>
                    <a:noFill/>
                    <a:ln>
                      <a:noFill/>
                    </a:ln>
                  </pic:spPr>
                </pic:pic>
              </a:graphicData>
            </a:graphic>
          </wp:inline>
        </w:drawing>
      </w:r>
    </w:p>
    <w:p w14:paraId="1452289C" w14:textId="0244459B" w:rsidR="00AE22A2" w:rsidRDefault="005958A9" w:rsidP="005958A9">
      <w:pPr>
        <w:pStyle w:val="Heading2"/>
        <w:spacing w:before="77"/>
        <w:jc w:val="center"/>
        <w:rPr>
          <w:color w:val="282A2A"/>
          <w:w w:val="105"/>
          <w:sz w:val="22"/>
          <w:szCs w:val="22"/>
        </w:rPr>
      </w:pPr>
      <w:r>
        <w:rPr>
          <w:color w:val="282A2A"/>
          <w:w w:val="105"/>
          <w:sz w:val="22"/>
          <w:szCs w:val="22"/>
        </w:rPr>
        <w:t>20</w:t>
      </w:r>
      <w:r w:rsidR="00A04002">
        <w:rPr>
          <w:color w:val="282A2A"/>
          <w:w w:val="105"/>
          <w:sz w:val="22"/>
          <w:szCs w:val="22"/>
        </w:rPr>
        <w:t>2</w:t>
      </w:r>
      <w:r w:rsidR="00FE1B36">
        <w:rPr>
          <w:color w:val="282A2A"/>
          <w:w w:val="105"/>
          <w:sz w:val="22"/>
          <w:szCs w:val="22"/>
        </w:rPr>
        <w:t>1</w:t>
      </w:r>
      <w:r>
        <w:rPr>
          <w:color w:val="282A2A"/>
          <w:w w:val="105"/>
          <w:sz w:val="22"/>
          <w:szCs w:val="22"/>
        </w:rPr>
        <w:t xml:space="preserve"> Report</w:t>
      </w:r>
    </w:p>
    <w:p w14:paraId="2EEC922F" w14:textId="77777777" w:rsidR="00AE22A2" w:rsidRDefault="00AE22A2" w:rsidP="00AE22A2">
      <w:pPr>
        <w:pStyle w:val="Heading2"/>
        <w:spacing w:before="77"/>
        <w:jc w:val="both"/>
        <w:rPr>
          <w:color w:val="282A2A"/>
          <w:w w:val="105"/>
          <w:sz w:val="22"/>
          <w:szCs w:val="22"/>
        </w:rPr>
      </w:pPr>
      <w:r w:rsidRPr="00EA539A">
        <w:rPr>
          <w:color w:val="282A2A"/>
          <w:w w:val="105"/>
          <w:sz w:val="22"/>
          <w:szCs w:val="22"/>
        </w:rPr>
        <w:t xml:space="preserve">Annex 1: list of information </w:t>
      </w:r>
      <w:r w:rsidRPr="00EA539A">
        <w:rPr>
          <w:color w:val="383838"/>
          <w:w w:val="105"/>
          <w:sz w:val="22"/>
          <w:szCs w:val="22"/>
        </w:rPr>
        <w:t xml:space="preserve">to </w:t>
      </w:r>
      <w:r w:rsidRPr="00EA539A">
        <w:rPr>
          <w:color w:val="282A2A"/>
          <w:w w:val="105"/>
          <w:sz w:val="22"/>
          <w:szCs w:val="22"/>
        </w:rPr>
        <w:t xml:space="preserve">be reported by the </w:t>
      </w:r>
      <w:r w:rsidRPr="00EA539A">
        <w:rPr>
          <w:color w:val="383838"/>
          <w:w w:val="105"/>
          <w:sz w:val="22"/>
          <w:szCs w:val="22"/>
        </w:rPr>
        <w:t xml:space="preserve">voluntary </w:t>
      </w:r>
      <w:r w:rsidRPr="00EA539A">
        <w:rPr>
          <w:color w:val="282A2A"/>
          <w:w w:val="105"/>
          <w:sz w:val="22"/>
          <w:szCs w:val="22"/>
        </w:rPr>
        <w:t>schemes</w:t>
      </w:r>
    </w:p>
    <w:p w14:paraId="44B0E0AD" w14:textId="2D01F39B" w:rsidR="00AE22A2" w:rsidRPr="00EA539A" w:rsidRDefault="00AE22A2" w:rsidP="00F666BD">
      <w:pPr>
        <w:pStyle w:val="Heading2"/>
        <w:spacing w:before="77"/>
        <w:jc w:val="center"/>
        <w:rPr>
          <w:sz w:val="22"/>
          <w:szCs w:val="22"/>
        </w:rPr>
      </w:pPr>
      <w:r>
        <w:rPr>
          <w:color w:val="282A2A"/>
          <w:w w:val="105"/>
          <w:sz w:val="22"/>
          <w:szCs w:val="22"/>
        </w:rPr>
        <w:t>Scottish Quality Crops (Ltd)</w:t>
      </w:r>
    </w:p>
    <w:p w14:paraId="50A83140" w14:textId="77777777" w:rsidR="00AE22A2" w:rsidRPr="00EA539A" w:rsidRDefault="00AE22A2" w:rsidP="00AE22A2">
      <w:pPr>
        <w:pStyle w:val="BodyText"/>
        <w:spacing w:before="8"/>
        <w:rPr>
          <w:b/>
          <w:sz w:val="22"/>
          <w:szCs w:val="22"/>
        </w:rPr>
      </w:pPr>
    </w:p>
    <w:p w14:paraId="5F764D5F" w14:textId="72E736A9" w:rsidR="00AE22A2" w:rsidRPr="006F603C" w:rsidRDefault="00AE22A2" w:rsidP="00AE22A2">
      <w:pPr>
        <w:pStyle w:val="ListParagraph"/>
        <w:numPr>
          <w:ilvl w:val="0"/>
          <w:numId w:val="1"/>
        </w:numPr>
        <w:tabs>
          <w:tab w:val="left" w:pos="469"/>
        </w:tabs>
        <w:spacing w:line="247" w:lineRule="auto"/>
        <w:ind w:right="105" w:hanging="2"/>
        <w:jc w:val="both"/>
        <w:rPr>
          <w:color w:val="282A2A"/>
        </w:rPr>
      </w:pPr>
      <w:r w:rsidRPr="00EA539A">
        <w:rPr>
          <w:color w:val="383838"/>
          <w:w w:val="105"/>
        </w:rPr>
        <w:t xml:space="preserve">the </w:t>
      </w:r>
      <w:r w:rsidRPr="00EA539A">
        <w:rPr>
          <w:color w:val="282A2A"/>
          <w:w w:val="105"/>
        </w:rPr>
        <w:t xml:space="preserve">independence, modality and frequency of audits, both </w:t>
      </w:r>
      <w:r w:rsidRPr="00EA539A">
        <w:rPr>
          <w:color w:val="383838"/>
          <w:w w:val="105"/>
        </w:rPr>
        <w:t xml:space="preserve">in </w:t>
      </w:r>
      <w:r w:rsidRPr="00EA539A">
        <w:rPr>
          <w:color w:val="282A2A"/>
          <w:w w:val="105"/>
        </w:rPr>
        <w:t xml:space="preserve">relation to what is stated on those aspects in the scheme documentation, at </w:t>
      </w:r>
      <w:r w:rsidRPr="00EA539A">
        <w:rPr>
          <w:color w:val="383838"/>
          <w:w w:val="105"/>
        </w:rPr>
        <w:t xml:space="preserve">the </w:t>
      </w:r>
      <w:r w:rsidRPr="00EA539A">
        <w:rPr>
          <w:color w:val="282A2A"/>
          <w:w w:val="105"/>
        </w:rPr>
        <w:t>time the scheme concerned was approved by</w:t>
      </w:r>
      <w:r w:rsidRPr="00EA539A">
        <w:rPr>
          <w:color w:val="282A2A"/>
          <w:spacing w:val="-15"/>
          <w:w w:val="105"/>
        </w:rPr>
        <w:t xml:space="preserve"> </w:t>
      </w:r>
      <w:r w:rsidRPr="00EA539A">
        <w:rPr>
          <w:color w:val="383838"/>
          <w:w w:val="105"/>
        </w:rPr>
        <w:t>the</w:t>
      </w:r>
      <w:r w:rsidRPr="00EA539A">
        <w:rPr>
          <w:color w:val="383838"/>
          <w:spacing w:val="-9"/>
          <w:w w:val="105"/>
        </w:rPr>
        <w:t xml:space="preserve"> </w:t>
      </w:r>
      <w:r w:rsidRPr="00EA539A">
        <w:rPr>
          <w:color w:val="282A2A"/>
          <w:w w:val="105"/>
        </w:rPr>
        <w:t>Commission, and</w:t>
      </w:r>
      <w:r w:rsidRPr="00EA539A">
        <w:rPr>
          <w:color w:val="282A2A"/>
          <w:spacing w:val="-5"/>
          <w:w w:val="105"/>
        </w:rPr>
        <w:t xml:space="preserve"> </w:t>
      </w:r>
      <w:r w:rsidRPr="00EA539A">
        <w:rPr>
          <w:color w:val="282A2A"/>
          <w:w w:val="105"/>
        </w:rPr>
        <w:t>in</w:t>
      </w:r>
      <w:r w:rsidRPr="00EA539A">
        <w:rPr>
          <w:color w:val="282A2A"/>
          <w:spacing w:val="-9"/>
          <w:w w:val="105"/>
        </w:rPr>
        <w:t xml:space="preserve"> </w:t>
      </w:r>
      <w:r w:rsidRPr="00EA539A">
        <w:rPr>
          <w:color w:val="282A2A"/>
          <w:w w:val="105"/>
        </w:rPr>
        <w:t>relation</w:t>
      </w:r>
      <w:r w:rsidRPr="00EA539A">
        <w:rPr>
          <w:color w:val="282A2A"/>
          <w:spacing w:val="-5"/>
          <w:w w:val="105"/>
        </w:rPr>
        <w:t xml:space="preserve"> </w:t>
      </w:r>
      <w:r w:rsidRPr="00EA539A">
        <w:rPr>
          <w:color w:val="383838"/>
          <w:w w:val="105"/>
        </w:rPr>
        <w:t>to</w:t>
      </w:r>
      <w:r w:rsidRPr="00EA539A">
        <w:rPr>
          <w:color w:val="383838"/>
          <w:spacing w:val="-14"/>
          <w:w w:val="105"/>
        </w:rPr>
        <w:t xml:space="preserve"> </w:t>
      </w:r>
      <w:r w:rsidRPr="00EA539A">
        <w:rPr>
          <w:color w:val="282A2A"/>
          <w:w w:val="105"/>
        </w:rPr>
        <w:t>industry</w:t>
      </w:r>
      <w:r w:rsidRPr="00EA539A">
        <w:rPr>
          <w:color w:val="282A2A"/>
          <w:spacing w:val="-3"/>
          <w:w w:val="105"/>
        </w:rPr>
        <w:t xml:space="preserve"> </w:t>
      </w:r>
      <w:r w:rsidRPr="00EA539A">
        <w:rPr>
          <w:color w:val="282A2A"/>
          <w:w w:val="105"/>
        </w:rPr>
        <w:t>best</w:t>
      </w:r>
      <w:r w:rsidRPr="00EA539A">
        <w:rPr>
          <w:color w:val="282A2A"/>
          <w:spacing w:val="-4"/>
          <w:w w:val="105"/>
        </w:rPr>
        <w:t xml:space="preserve"> </w:t>
      </w:r>
      <w:r w:rsidRPr="00EA539A">
        <w:rPr>
          <w:color w:val="282A2A"/>
          <w:w w:val="105"/>
        </w:rPr>
        <w:t>practice</w:t>
      </w:r>
      <w:r w:rsidR="004B351E">
        <w:rPr>
          <w:color w:val="282A2A"/>
          <w:w w:val="105"/>
        </w:rPr>
        <w:t>:</w:t>
      </w:r>
    </w:p>
    <w:p w14:paraId="58832FA5" w14:textId="77777777" w:rsidR="00AE22A2" w:rsidRPr="00EA539A" w:rsidRDefault="00AE22A2" w:rsidP="00AE22A2">
      <w:pPr>
        <w:pStyle w:val="ListParagraph"/>
        <w:tabs>
          <w:tab w:val="left" w:pos="469"/>
        </w:tabs>
        <w:spacing w:line="247" w:lineRule="auto"/>
        <w:ind w:left="123" w:right="105" w:firstLine="0"/>
        <w:jc w:val="left"/>
        <w:rPr>
          <w:color w:val="282A2A"/>
        </w:rPr>
      </w:pPr>
    </w:p>
    <w:p w14:paraId="3BC7A9A1" w14:textId="102F0515" w:rsidR="00AE22A2" w:rsidRPr="004800EC" w:rsidRDefault="00AE22A2" w:rsidP="00AE22A2">
      <w:pPr>
        <w:pStyle w:val="BodyText"/>
        <w:spacing w:before="10"/>
        <w:rPr>
          <w:b/>
          <w:sz w:val="22"/>
          <w:szCs w:val="22"/>
        </w:rPr>
      </w:pPr>
      <w:r w:rsidRPr="009F4B45">
        <w:rPr>
          <w:b/>
          <w:sz w:val="22"/>
          <w:szCs w:val="22"/>
        </w:rPr>
        <w:t>These are all unchanged.</w:t>
      </w:r>
      <w:r w:rsidR="0073611F">
        <w:rPr>
          <w:b/>
          <w:sz w:val="22"/>
          <w:szCs w:val="22"/>
        </w:rPr>
        <w:t xml:space="preserve"> All farms are assessed on an annual basis.</w:t>
      </w:r>
    </w:p>
    <w:p w14:paraId="75C35369" w14:textId="77777777" w:rsidR="00AE22A2" w:rsidRPr="00EA539A" w:rsidRDefault="00AE22A2" w:rsidP="00AE22A2">
      <w:pPr>
        <w:pStyle w:val="BodyText"/>
        <w:spacing w:before="10"/>
        <w:rPr>
          <w:color w:val="FF0000"/>
          <w:sz w:val="22"/>
          <w:szCs w:val="22"/>
        </w:rPr>
      </w:pPr>
    </w:p>
    <w:p w14:paraId="6163DFC0" w14:textId="2B48F0E6" w:rsidR="00AE22A2" w:rsidRPr="006F603C" w:rsidRDefault="00AE22A2" w:rsidP="00AE22A2">
      <w:pPr>
        <w:pStyle w:val="ListParagraph"/>
        <w:numPr>
          <w:ilvl w:val="0"/>
          <w:numId w:val="1"/>
        </w:numPr>
        <w:tabs>
          <w:tab w:val="left" w:pos="503"/>
        </w:tabs>
        <w:spacing w:line="249" w:lineRule="auto"/>
        <w:ind w:left="118" w:right="114" w:firstLine="3"/>
        <w:jc w:val="both"/>
        <w:rPr>
          <w:color w:val="282A2A"/>
        </w:rPr>
      </w:pPr>
      <w:r w:rsidRPr="00EA539A">
        <w:rPr>
          <w:color w:val="282A2A"/>
          <w:w w:val="105"/>
        </w:rPr>
        <w:t xml:space="preserve">the availability of, and experience and transparency in the application of, methods for identifying and dealing </w:t>
      </w:r>
      <w:r w:rsidRPr="00EA539A">
        <w:rPr>
          <w:color w:val="383838"/>
          <w:w w:val="105"/>
        </w:rPr>
        <w:t xml:space="preserve">with </w:t>
      </w:r>
      <w:r w:rsidRPr="00EA539A">
        <w:rPr>
          <w:color w:val="282A2A"/>
          <w:w w:val="105"/>
        </w:rPr>
        <w:t xml:space="preserve">non-compliance, </w:t>
      </w:r>
      <w:r w:rsidRPr="00EA539A">
        <w:rPr>
          <w:color w:val="383838"/>
          <w:w w:val="105"/>
        </w:rPr>
        <w:t xml:space="preserve">with </w:t>
      </w:r>
      <w:r w:rsidRPr="00EA539A">
        <w:rPr>
          <w:color w:val="282A2A"/>
          <w:w w:val="105"/>
        </w:rPr>
        <w:t xml:space="preserve">particular regard to dealing </w:t>
      </w:r>
      <w:r w:rsidRPr="00EA539A">
        <w:rPr>
          <w:color w:val="383838"/>
          <w:w w:val="105"/>
        </w:rPr>
        <w:t xml:space="preserve">with </w:t>
      </w:r>
      <w:r w:rsidRPr="00EA539A">
        <w:rPr>
          <w:color w:val="282A2A"/>
          <w:w w:val="105"/>
        </w:rPr>
        <w:t>situations or</w:t>
      </w:r>
      <w:r w:rsidRPr="00EA539A">
        <w:rPr>
          <w:color w:val="282A2A"/>
          <w:spacing w:val="-8"/>
          <w:w w:val="105"/>
        </w:rPr>
        <w:t xml:space="preserve"> </w:t>
      </w:r>
      <w:r w:rsidRPr="00EA539A">
        <w:rPr>
          <w:color w:val="282A2A"/>
          <w:w w:val="105"/>
        </w:rPr>
        <w:t>allegations</w:t>
      </w:r>
      <w:r w:rsidRPr="00EA539A">
        <w:rPr>
          <w:color w:val="282A2A"/>
          <w:spacing w:val="2"/>
          <w:w w:val="105"/>
        </w:rPr>
        <w:t xml:space="preserve"> </w:t>
      </w:r>
      <w:r w:rsidRPr="00EA539A">
        <w:rPr>
          <w:color w:val="282A2A"/>
          <w:w w:val="105"/>
        </w:rPr>
        <w:t>of</w:t>
      </w:r>
      <w:r w:rsidRPr="00EA539A">
        <w:rPr>
          <w:color w:val="282A2A"/>
          <w:spacing w:val="-11"/>
          <w:w w:val="105"/>
        </w:rPr>
        <w:t xml:space="preserve"> </w:t>
      </w:r>
      <w:r w:rsidRPr="00EA539A">
        <w:rPr>
          <w:color w:val="282A2A"/>
          <w:w w:val="105"/>
        </w:rPr>
        <w:t>serious</w:t>
      </w:r>
      <w:r w:rsidRPr="00EA539A">
        <w:rPr>
          <w:color w:val="282A2A"/>
          <w:spacing w:val="1"/>
          <w:w w:val="105"/>
        </w:rPr>
        <w:t xml:space="preserve"> </w:t>
      </w:r>
      <w:r w:rsidRPr="00EA539A">
        <w:rPr>
          <w:color w:val="282A2A"/>
          <w:w w:val="105"/>
        </w:rPr>
        <w:t>wrongdoing</w:t>
      </w:r>
      <w:r w:rsidRPr="00EA539A">
        <w:rPr>
          <w:color w:val="282A2A"/>
          <w:spacing w:val="7"/>
          <w:w w:val="105"/>
        </w:rPr>
        <w:t xml:space="preserve"> </w:t>
      </w:r>
      <w:r w:rsidRPr="00EA539A">
        <w:rPr>
          <w:color w:val="282A2A"/>
          <w:w w:val="105"/>
        </w:rPr>
        <w:t>on</w:t>
      </w:r>
      <w:r w:rsidRPr="00EA539A">
        <w:rPr>
          <w:color w:val="282A2A"/>
          <w:spacing w:val="-8"/>
          <w:w w:val="105"/>
        </w:rPr>
        <w:t xml:space="preserve"> </w:t>
      </w:r>
      <w:r w:rsidRPr="00EA539A">
        <w:rPr>
          <w:color w:val="282A2A"/>
          <w:w w:val="105"/>
        </w:rPr>
        <w:t>the</w:t>
      </w:r>
      <w:r w:rsidRPr="00EA539A">
        <w:rPr>
          <w:color w:val="282A2A"/>
          <w:spacing w:val="-4"/>
          <w:w w:val="105"/>
        </w:rPr>
        <w:t xml:space="preserve"> </w:t>
      </w:r>
      <w:r w:rsidRPr="00EA539A">
        <w:rPr>
          <w:color w:val="282A2A"/>
          <w:w w:val="105"/>
        </w:rPr>
        <w:t>part</w:t>
      </w:r>
      <w:r w:rsidRPr="00EA539A">
        <w:rPr>
          <w:color w:val="282A2A"/>
          <w:spacing w:val="-14"/>
          <w:w w:val="105"/>
        </w:rPr>
        <w:t xml:space="preserve"> </w:t>
      </w:r>
      <w:r w:rsidRPr="00EA539A">
        <w:rPr>
          <w:color w:val="282A2A"/>
          <w:w w:val="105"/>
        </w:rPr>
        <w:t>of</w:t>
      </w:r>
      <w:r w:rsidRPr="00EA539A">
        <w:rPr>
          <w:color w:val="282A2A"/>
          <w:spacing w:val="-7"/>
          <w:w w:val="105"/>
        </w:rPr>
        <w:t xml:space="preserve"> </w:t>
      </w:r>
      <w:r w:rsidRPr="00EA539A">
        <w:rPr>
          <w:color w:val="282A2A"/>
          <w:w w:val="105"/>
        </w:rPr>
        <w:t>members</w:t>
      </w:r>
      <w:r w:rsidRPr="00EA539A">
        <w:rPr>
          <w:color w:val="282A2A"/>
          <w:spacing w:val="-3"/>
          <w:w w:val="105"/>
        </w:rPr>
        <w:t xml:space="preserve"> </w:t>
      </w:r>
      <w:r w:rsidRPr="00EA539A">
        <w:rPr>
          <w:color w:val="282A2A"/>
          <w:w w:val="105"/>
        </w:rPr>
        <w:t>of</w:t>
      </w:r>
      <w:r w:rsidRPr="00EA539A">
        <w:rPr>
          <w:color w:val="282A2A"/>
          <w:spacing w:val="-7"/>
          <w:w w:val="105"/>
        </w:rPr>
        <w:t xml:space="preserve"> </w:t>
      </w:r>
      <w:r w:rsidRPr="00EA539A">
        <w:rPr>
          <w:color w:val="282A2A"/>
          <w:w w:val="105"/>
        </w:rPr>
        <w:t>the</w:t>
      </w:r>
      <w:r w:rsidRPr="00EA539A">
        <w:rPr>
          <w:color w:val="282A2A"/>
          <w:spacing w:val="-10"/>
          <w:w w:val="105"/>
        </w:rPr>
        <w:t xml:space="preserve"> </w:t>
      </w:r>
      <w:r w:rsidRPr="00EA539A">
        <w:rPr>
          <w:color w:val="282A2A"/>
          <w:w w:val="105"/>
        </w:rPr>
        <w:t>scheme</w:t>
      </w:r>
      <w:r w:rsidR="00942957">
        <w:rPr>
          <w:color w:val="282A2A"/>
          <w:w w:val="105"/>
        </w:rPr>
        <w:t>:</w:t>
      </w:r>
    </w:p>
    <w:p w14:paraId="4F8BA549" w14:textId="77777777" w:rsidR="00AE22A2" w:rsidRPr="00986E07" w:rsidRDefault="00AE22A2" w:rsidP="00986E07">
      <w:pPr>
        <w:tabs>
          <w:tab w:val="left" w:pos="503"/>
        </w:tabs>
        <w:spacing w:line="249" w:lineRule="auto"/>
        <w:ind w:right="114"/>
        <w:rPr>
          <w:color w:val="282A2A"/>
        </w:rPr>
      </w:pPr>
    </w:p>
    <w:p w14:paraId="3B50C7DF" w14:textId="226B0DB6" w:rsidR="00AE22A2" w:rsidRPr="004800EC" w:rsidRDefault="00AE22A2" w:rsidP="00AE22A2">
      <w:pPr>
        <w:pStyle w:val="BodyText"/>
        <w:spacing w:before="8"/>
        <w:rPr>
          <w:b/>
          <w:sz w:val="22"/>
          <w:szCs w:val="22"/>
        </w:rPr>
      </w:pPr>
      <w:r w:rsidRPr="004800EC">
        <w:rPr>
          <w:b/>
          <w:sz w:val="22"/>
          <w:szCs w:val="22"/>
        </w:rPr>
        <w:t>Assessors carry out assessments in a formatted order to ensure consistency of audit</w:t>
      </w:r>
      <w:r w:rsidR="00986E07">
        <w:rPr>
          <w:b/>
          <w:sz w:val="22"/>
          <w:szCs w:val="22"/>
        </w:rPr>
        <w:t xml:space="preserve"> </w:t>
      </w:r>
      <w:r w:rsidR="0004127F">
        <w:rPr>
          <w:b/>
          <w:sz w:val="22"/>
          <w:szCs w:val="22"/>
        </w:rPr>
        <w:t xml:space="preserve">and all members of the scheme are provided a copy of the current SQC </w:t>
      </w:r>
      <w:r w:rsidR="003C3AC1">
        <w:rPr>
          <w:b/>
          <w:sz w:val="22"/>
          <w:szCs w:val="22"/>
        </w:rPr>
        <w:t>M</w:t>
      </w:r>
      <w:r w:rsidR="0004127F">
        <w:rPr>
          <w:b/>
          <w:sz w:val="22"/>
          <w:szCs w:val="22"/>
        </w:rPr>
        <w:t>anual which details the procedures for identifying and classifying non-conformances and dealing with allegations of wrongdoing on the part of  members</w:t>
      </w:r>
    </w:p>
    <w:p w14:paraId="25109480" w14:textId="77777777" w:rsidR="00AE22A2" w:rsidRDefault="00AE22A2" w:rsidP="00AE22A2">
      <w:pPr>
        <w:pStyle w:val="BodyText"/>
        <w:spacing w:before="8"/>
        <w:rPr>
          <w:sz w:val="22"/>
          <w:szCs w:val="22"/>
        </w:rPr>
      </w:pPr>
    </w:p>
    <w:p w14:paraId="150BC76F" w14:textId="756C7657" w:rsidR="00AE22A2" w:rsidRPr="00942957" w:rsidRDefault="00AE22A2" w:rsidP="00257F09">
      <w:pPr>
        <w:pStyle w:val="ListParagraph"/>
        <w:numPr>
          <w:ilvl w:val="0"/>
          <w:numId w:val="1"/>
        </w:numPr>
        <w:tabs>
          <w:tab w:val="left" w:pos="459"/>
        </w:tabs>
        <w:spacing w:line="249" w:lineRule="auto"/>
        <w:ind w:left="121" w:right="110" w:firstLine="0"/>
        <w:rPr>
          <w:color w:val="282A2A"/>
        </w:rPr>
      </w:pPr>
      <w:r w:rsidRPr="00942957">
        <w:rPr>
          <w:color w:val="383838"/>
          <w:w w:val="105"/>
        </w:rPr>
        <w:t xml:space="preserve">transparency, </w:t>
      </w:r>
      <w:r w:rsidRPr="00942957">
        <w:rPr>
          <w:color w:val="282A2A"/>
          <w:w w:val="105"/>
        </w:rPr>
        <w:t xml:space="preserve">particularly in relation </w:t>
      </w:r>
      <w:r w:rsidRPr="00942957">
        <w:rPr>
          <w:color w:val="383838"/>
          <w:w w:val="105"/>
        </w:rPr>
        <w:t xml:space="preserve">to the </w:t>
      </w:r>
      <w:r w:rsidRPr="00942957">
        <w:rPr>
          <w:color w:val="282A2A"/>
          <w:w w:val="105"/>
        </w:rPr>
        <w:t xml:space="preserve">accessibility of the scheme, the availability of translations in the applicable languages of the countries and regions from which raw materials originate, the accessibility of a </w:t>
      </w:r>
      <w:r w:rsidRPr="00942957">
        <w:rPr>
          <w:color w:val="383838"/>
          <w:w w:val="105"/>
        </w:rPr>
        <w:t xml:space="preserve">list </w:t>
      </w:r>
      <w:r w:rsidRPr="00942957">
        <w:rPr>
          <w:color w:val="282A2A"/>
          <w:w w:val="105"/>
        </w:rPr>
        <w:t>of certified operators and relevant certificates, and the accessibility of auditor</w:t>
      </w:r>
      <w:r w:rsidRPr="00942957">
        <w:rPr>
          <w:color w:val="282A2A"/>
          <w:spacing w:val="-9"/>
          <w:w w:val="105"/>
        </w:rPr>
        <w:t xml:space="preserve"> </w:t>
      </w:r>
      <w:r w:rsidRPr="00942957">
        <w:rPr>
          <w:color w:val="282A2A"/>
          <w:w w:val="105"/>
        </w:rPr>
        <w:t>reports</w:t>
      </w:r>
      <w:r w:rsidR="00942957" w:rsidRPr="00942957">
        <w:rPr>
          <w:color w:val="282A2A"/>
          <w:w w:val="105"/>
        </w:rPr>
        <w:t>:</w:t>
      </w:r>
    </w:p>
    <w:p w14:paraId="1D3B649C" w14:textId="77777777" w:rsidR="00942957" w:rsidRDefault="00942957" w:rsidP="00AE22A2">
      <w:pPr>
        <w:tabs>
          <w:tab w:val="left" w:pos="459"/>
        </w:tabs>
        <w:spacing w:line="249" w:lineRule="auto"/>
        <w:ind w:right="110"/>
        <w:rPr>
          <w:b/>
        </w:rPr>
      </w:pPr>
    </w:p>
    <w:p w14:paraId="52143B58" w14:textId="5D04D3BA" w:rsidR="0073611F" w:rsidRDefault="00AE22A2" w:rsidP="00AE22A2">
      <w:pPr>
        <w:tabs>
          <w:tab w:val="left" w:pos="459"/>
        </w:tabs>
        <w:spacing w:line="249" w:lineRule="auto"/>
        <w:ind w:right="110"/>
        <w:rPr>
          <w:b/>
        </w:rPr>
      </w:pPr>
      <w:r w:rsidRPr="004800EC">
        <w:rPr>
          <w:b/>
        </w:rPr>
        <w:t xml:space="preserve">Access to the Scheme </w:t>
      </w:r>
      <w:r w:rsidR="00047EEB">
        <w:rPr>
          <w:b/>
        </w:rPr>
        <w:t xml:space="preserve">Manual and supporting documentation </w:t>
      </w:r>
      <w:r w:rsidRPr="004800EC">
        <w:rPr>
          <w:b/>
        </w:rPr>
        <w:t>is clearly shown on the SQC website</w:t>
      </w:r>
      <w:r w:rsidR="0004127F">
        <w:rPr>
          <w:b/>
        </w:rPr>
        <w:t xml:space="preserve"> (</w:t>
      </w:r>
      <w:hyperlink r:id="rId12" w:history="1">
        <w:r w:rsidR="00047EEB" w:rsidRPr="00E110B1">
          <w:rPr>
            <w:rStyle w:val="Hyperlink"/>
            <w:b/>
          </w:rPr>
          <w:t>https://www.sqcrops.co.uk</w:t>
        </w:r>
      </w:hyperlink>
      <w:r w:rsidR="0004127F">
        <w:rPr>
          <w:b/>
        </w:rPr>
        <w:t>)</w:t>
      </w:r>
      <w:r w:rsidR="00047EEB">
        <w:rPr>
          <w:b/>
        </w:rPr>
        <w:t xml:space="preserve">. </w:t>
      </w:r>
      <w:r w:rsidRPr="004800EC">
        <w:rPr>
          <w:b/>
        </w:rPr>
        <w:t xml:space="preserve"> </w:t>
      </w:r>
      <w:r w:rsidR="0073611F">
        <w:rPr>
          <w:b/>
        </w:rPr>
        <w:t xml:space="preserve">Accessibility to details of certified operators and relevant certificates is still via the log in on the SQC website. The database tracker and membership checker are the definitive means of confirming assurance at any given date.  The on-line checker also identifies compliance status for biofuel or bioliquid markets. </w:t>
      </w:r>
      <w:r w:rsidRPr="004800EC">
        <w:rPr>
          <w:b/>
        </w:rPr>
        <w:t xml:space="preserve">SQC only operates in the United Kingdom in English and there is no requirement for translation.  SQC operates a single Certification Body policy.  </w:t>
      </w:r>
    </w:p>
    <w:p w14:paraId="37994CAC" w14:textId="77777777" w:rsidR="0073611F" w:rsidRDefault="0073611F" w:rsidP="00AE22A2">
      <w:pPr>
        <w:tabs>
          <w:tab w:val="left" w:pos="459"/>
        </w:tabs>
        <w:spacing w:line="249" w:lineRule="auto"/>
        <w:ind w:right="110"/>
        <w:rPr>
          <w:b/>
        </w:rPr>
      </w:pPr>
    </w:p>
    <w:p w14:paraId="004B2DC5" w14:textId="4E1C04E0" w:rsidR="00AE22A2" w:rsidRPr="004800EC" w:rsidRDefault="00AE22A2" w:rsidP="00AE22A2">
      <w:pPr>
        <w:tabs>
          <w:tab w:val="left" w:pos="459"/>
        </w:tabs>
        <w:spacing w:line="249" w:lineRule="auto"/>
        <w:ind w:right="110"/>
        <w:rPr>
          <w:b/>
        </w:rPr>
      </w:pPr>
      <w:r w:rsidRPr="004800EC">
        <w:rPr>
          <w:b/>
        </w:rPr>
        <w:t xml:space="preserve">Audit reports are </w:t>
      </w:r>
      <w:r w:rsidR="0073611F">
        <w:rPr>
          <w:b/>
        </w:rPr>
        <w:t>confidential and held by the CB. A</w:t>
      </w:r>
      <w:r w:rsidR="00F93DEC">
        <w:rPr>
          <w:b/>
        </w:rPr>
        <w:t xml:space="preserve"> non</w:t>
      </w:r>
      <w:r w:rsidR="009F4B45">
        <w:rPr>
          <w:b/>
        </w:rPr>
        <w:t>-</w:t>
      </w:r>
      <w:r w:rsidR="00F93DEC">
        <w:rPr>
          <w:b/>
        </w:rPr>
        <w:t xml:space="preserve">conformance report is supplied to the </w:t>
      </w:r>
      <w:r w:rsidRPr="004800EC">
        <w:rPr>
          <w:b/>
        </w:rPr>
        <w:t>grower</w:t>
      </w:r>
      <w:r w:rsidR="002D3914">
        <w:rPr>
          <w:b/>
        </w:rPr>
        <w:t>(s)</w:t>
      </w:r>
      <w:r w:rsidRPr="004800EC">
        <w:rPr>
          <w:b/>
        </w:rPr>
        <w:t xml:space="preserve"> after the assessment and certificates are then </w:t>
      </w:r>
      <w:r w:rsidR="00F666BD">
        <w:rPr>
          <w:b/>
        </w:rPr>
        <w:t>emailed</w:t>
      </w:r>
      <w:r w:rsidRPr="004800EC">
        <w:rPr>
          <w:b/>
        </w:rPr>
        <w:t xml:space="preserve"> to growers following correction of any non-compliances.</w:t>
      </w:r>
      <w:r w:rsidR="00AE5FD7">
        <w:rPr>
          <w:b/>
        </w:rPr>
        <w:t xml:space="preserve"> SQC requires the CB to furnish </w:t>
      </w:r>
      <w:r w:rsidR="005E0E23">
        <w:rPr>
          <w:b/>
        </w:rPr>
        <w:t>them</w:t>
      </w:r>
      <w:r w:rsidR="00AE5FD7">
        <w:rPr>
          <w:b/>
        </w:rPr>
        <w:t xml:space="preserve"> with full details of audit reports</w:t>
      </w:r>
      <w:r w:rsidR="005E0E23">
        <w:rPr>
          <w:b/>
        </w:rPr>
        <w:t xml:space="preserve"> on request</w:t>
      </w:r>
      <w:r w:rsidR="00AE5FD7">
        <w:rPr>
          <w:b/>
        </w:rPr>
        <w:t xml:space="preserve">. </w:t>
      </w:r>
    </w:p>
    <w:p w14:paraId="5F27920A" w14:textId="77777777" w:rsidR="00AE22A2" w:rsidRPr="006F603C" w:rsidRDefault="00AE22A2" w:rsidP="00AE22A2">
      <w:pPr>
        <w:tabs>
          <w:tab w:val="left" w:pos="459"/>
        </w:tabs>
        <w:spacing w:line="249" w:lineRule="auto"/>
        <w:ind w:right="110"/>
      </w:pPr>
    </w:p>
    <w:p w14:paraId="0C1A81AC" w14:textId="2D0DDCF9" w:rsidR="00AE22A2" w:rsidRPr="006F603C" w:rsidRDefault="00AE22A2" w:rsidP="00AE22A2">
      <w:pPr>
        <w:pStyle w:val="ListParagraph"/>
        <w:numPr>
          <w:ilvl w:val="0"/>
          <w:numId w:val="1"/>
        </w:numPr>
        <w:tabs>
          <w:tab w:val="left" w:pos="484"/>
        </w:tabs>
        <w:spacing w:line="249" w:lineRule="auto"/>
        <w:ind w:left="118" w:right="118" w:hanging="2"/>
        <w:jc w:val="both"/>
        <w:rPr>
          <w:color w:val="383838"/>
        </w:rPr>
      </w:pPr>
      <w:r w:rsidRPr="00EA539A">
        <w:rPr>
          <w:color w:val="282A2A"/>
          <w:w w:val="105"/>
        </w:rPr>
        <w:t>stakeholder involvement, particularly as regards the consultation of indigenous and local communities</w:t>
      </w:r>
      <w:r w:rsidRPr="00EA539A">
        <w:rPr>
          <w:color w:val="282A2A"/>
          <w:spacing w:val="7"/>
          <w:w w:val="105"/>
        </w:rPr>
        <w:t xml:space="preserve"> </w:t>
      </w:r>
      <w:r w:rsidRPr="00EA539A">
        <w:rPr>
          <w:color w:val="282A2A"/>
          <w:w w:val="105"/>
        </w:rPr>
        <w:t>prior</w:t>
      </w:r>
      <w:r w:rsidRPr="00EA539A">
        <w:rPr>
          <w:color w:val="282A2A"/>
          <w:spacing w:val="-11"/>
          <w:w w:val="105"/>
        </w:rPr>
        <w:t xml:space="preserve"> </w:t>
      </w:r>
      <w:r w:rsidRPr="00EA539A">
        <w:rPr>
          <w:color w:val="282A2A"/>
          <w:w w:val="105"/>
        </w:rPr>
        <w:t>to</w:t>
      </w:r>
      <w:r w:rsidRPr="00EA539A">
        <w:rPr>
          <w:color w:val="282A2A"/>
          <w:spacing w:val="-9"/>
          <w:w w:val="105"/>
        </w:rPr>
        <w:t xml:space="preserve"> </w:t>
      </w:r>
      <w:r w:rsidRPr="00EA539A">
        <w:rPr>
          <w:color w:val="282A2A"/>
          <w:w w:val="105"/>
        </w:rPr>
        <w:t>decision</w:t>
      </w:r>
      <w:r w:rsidRPr="00EA539A">
        <w:rPr>
          <w:color w:val="282A2A"/>
          <w:spacing w:val="-3"/>
          <w:w w:val="105"/>
        </w:rPr>
        <w:t xml:space="preserve"> </w:t>
      </w:r>
      <w:r w:rsidRPr="00EA539A">
        <w:rPr>
          <w:color w:val="282A2A"/>
          <w:w w:val="105"/>
        </w:rPr>
        <w:t>making</w:t>
      </w:r>
      <w:r w:rsidRPr="00EA539A">
        <w:rPr>
          <w:color w:val="282A2A"/>
          <w:spacing w:val="-3"/>
          <w:w w:val="105"/>
        </w:rPr>
        <w:t xml:space="preserve"> </w:t>
      </w:r>
      <w:r w:rsidRPr="00EA539A">
        <w:rPr>
          <w:color w:val="282A2A"/>
          <w:w w:val="105"/>
        </w:rPr>
        <w:t>during</w:t>
      </w:r>
      <w:r w:rsidRPr="00EA539A">
        <w:rPr>
          <w:color w:val="282A2A"/>
          <w:spacing w:val="-7"/>
          <w:w w:val="105"/>
        </w:rPr>
        <w:t xml:space="preserve"> </w:t>
      </w:r>
      <w:r w:rsidRPr="00EA539A">
        <w:rPr>
          <w:color w:val="282A2A"/>
          <w:w w:val="105"/>
        </w:rPr>
        <w:t>the</w:t>
      </w:r>
      <w:r w:rsidRPr="00EA539A">
        <w:rPr>
          <w:color w:val="282A2A"/>
          <w:spacing w:val="-4"/>
          <w:w w:val="105"/>
        </w:rPr>
        <w:t xml:space="preserve"> </w:t>
      </w:r>
      <w:r w:rsidRPr="00EA539A">
        <w:rPr>
          <w:color w:val="282A2A"/>
          <w:w w:val="105"/>
        </w:rPr>
        <w:t>drafting</w:t>
      </w:r>
      <w:r w:rsidRPr="00EA539A">
        <w:rPr>
          <w:color w:val="282A2A"/>
          <w:spacing w:val="2"/>
          <w:w w:val="105"/>
        </w:rPr>
        <w:t xml:space="preserve"> </w:t>
      </w:r>
      <w:r w:rsidRPr="00EA539A">
        <w:rPr>
          <w:color w:val="282A2A"/>
          <w:w w:val="105"/>
        </w:rPr>
        <w:t>and</w:t>
      </w:r>
      <w:r w:rsidRPr="00EA539A">
        <w:rPr>
          <w:color w:val="282A2A"/>
          <w:spacing w:val="-2"/>
          <w:w w:val="105"/>
        </w:rPr>
        <w:t xml:space="preserve"> </w:t>
      </w:r>
      <w:r w:rsidRPr="00EA539A">
        <w:rPr>
          <w:color w:val="282A2A"/>
          <w:w w:val="105"/>
        </w:rPr>
        <w:t>reviewing</w:t>
      </w:r>
      <w:r w:rsidRPr="00EA539A">
        <w:rPr>
          <w:color w:val="282A2A"/>
          <w:spacing w:val="-3"/>
          <w:w w:val="105"/>
        </w:rPr>
        <w:t xml:space="preserve"> </w:t>
      </w:r>
      <w:r w:rsidRPr="00EA539A">
        <w:rPr>
          <w:color w:val="282A2A"/>
          <w:w w:val="105"/>
        </w:rPr>
        <w:t>of</w:t>
      </w:r>
      <w:r w:rsidRPr="00EA539A">
        <w:rPr>
          <w:color w:val="282A2A"/>
          <w:spacing w:val="-9"/>
          <w:w w:val="105"/>
        </w:rPr>
        <w:t xml:space="preserve"> </w:t>
      </w:r>
      <w:r w:rsidRPr="00EA539A">
        <w:rPr>
          <w:color w:val="282A2A"/>
          <w:w w:val="105"/>
        </w:rPr>
        <w:t>the</w:t>
      </w:r>
      <w:r w:rsidRPr="00EA539A">
        <w:rPr>
          <w:color w:val="282A2A"/>
          <w:spacing w:val="-8"/>
          <w:w w:val="105"/>
        </w:rPr>
        <w:t xml:space="preserve"> </w:t>
      </w:r>
      <w:r w:rsidRPr="00EA539A">
        <w:rPr>
          <w:color w:val="282A2A"/>
          <w:w w:val="105"/>
        </w:rPr>
        <w:t>scheme</w:t>
      </w:r>
      <w:r w:rsidRPr="00EA539A">
        <w:rPr>
          <w:color w:val="282A2A"/>
          <w:spacing w:val="-3"/>
          <w:w w:val="105"/>
        </w:rPr>
        <w:t xml:space="preserve"> </w:t>
      </w:r>
      <w:r w:rsidRPr="00EA539A">
        <w:rPr>
          <w:color w:val="282A2A"/>
          <w:w w:val="105"/>
        </w:rPr>
        <w:t>as</w:t>
      </w:r>
      <w:r w:rsidRPr="00EA539A">
        <w:rPr>
          <w:color w:val="282A2A"/>
          <w:spacing w:val="-8"/>
          <w:w w:val="105"/>
        </w:rPr>
        <w:t xml:space="preserve"> </w:t>
      </w:r>
      <w:r w:rsidRPr="00EA539A">
        <w:rPr>
          <w:color w:val="383838"/>
          <w:w w:val="105"/>
        </w:rPr>
        <w:t xml:space="preserve">well </w:t>
      </w:r>
      <w:r w:rsidRPr="00EA539A">
        <w:rPr>
          <w:color w:val="282A2A"/>
          <w:w w:val="105"/>
        </w:rPr>
        <w:t xml:space="preserve">as during audits and </w:t>
      </w:r>
      <w:r w:rsidRPr="00EA539A">
        <w:rPr>
          <w:color w:val="383838"/>
          <w:w w:val="105"/>
        </w:rPr>
        <w:t xml:space="preserve">the </w:t>
      </w:r>
      <w:r w:rsidRPr="00EA539A">
        <w:rPr>
          <w:color w:val="282A2A"/>
          <w:w w:val="105"/>
        </w:rPr>
        <w:t xml:space="preserve">response to </w:t>
      </w:r>
      <w:r w:rsidRPr="00EA539A">
        <w:rPr>
          <w:color w:val="383838"/>
          <w:w w:val="105"/>
        </w:rPr>
        <w:t>their</w:t>
      </w:r>
      <w:r w:rsidRPr="00EA539A">
        <w:rPr>
          <w:color w:val="383838"/>
          <w:spacing w:val="-30"/>
          <w:w w:val="105"/>
        </w:rPr>
        <w:t xml:space="preserve"> </w:t>
      </w:r>
      <w:r w:rsidRPr="00EA539A">
        <w:rPr>
          <w:color w:val="282A2A"/>
          <w:w w:val="105"/>
        </w:rPr>
        <w:t>contributions</w:t>
      </w:r>
      <w:r w:rsidR="00942957">
        <w:rPr>
          <w:color w:val="282A2A"/>
          <w:w w:val="105"/>
        </w:rPr>
        <w:t>:</w:t>
      </w:r>
    </w:p>
    <w:p w14:paraId="6FED64E5" w14:textId="77777777" w:rsidR="00AE22A2" w:rsidRPr="00EA539A" w:rsidRDefault="00AE22A2" w:rsidP="00AE22A2">
      <w:pPr>
        <w:pStyle w:val="ListParagraph"/>
        <w:tabs>
          <w:tab w:val="left" w:pos="484"/>
        </w:tabs>
        <w:spacing w:line="249" w:lineRule="auto"/>
        <w:ind w:right="118" w:firstLine="0"/>
        <w:jc w:val="left"/>
        <w:rPr>
          <w:color w:val="383838"/>
        </w:rPr>
      </w:pPr>
    </w:p>
    <w:p w14:paraId="014494FD" w14:textId="2E02CD3E" w:rsidR="00AE22A2" w:rsidRDefault="00AE22A2" w:rsidP="00AE22A2">
      <w:pPr>
        <w:pStyle w:val="BodyText"/>
        <w:spacing w:before="8"/>
        <w:rPr>
          <w:b/>
          <w:sz w:val="22"/>
          <w:szCs w:val="22"/>
        </w:rPr>
      </w:pPr>
      <w:r w:rsidRPr="004800EC">
        <w:rPr>
          <w:b/>
          <w:sz w:val="22"/>
          <w:szCs w:val="22"/>
        </w:rPr>
        <w:t>SQC is a not for profit Company</w:t>
      </w:r>
      <w:r w:rsidR="0046733E">
        <w:rPr>
          <w:b/>
          <w:sz w:val="22"/>
          <w:szCs w:val="22"/>
        </w:rPr>
        <w:t xml:space="preserve">.  </w:t>
      </w:r>
      <w:r w:rsidR="00733647" w:rsidRPr="00A7383C">
        <w:rPr>
          <w:b/>
          <w:sz w:val="22"/>
          <w:szCs w:val="22"/>
        </w:rPr>
        <w:t>S</w:t>
      </w:r>
      <w:r w:rsidR="006A0DD3" w:rsidRPr="00A7383C">
        <w:rPr>
          <w:b/>
          <w:sz w:val="22"/>
          <w:szCs w:val="22"/>
        </w:rPr>
        <w:t>cottish Quality Crops Ltd</w:t>
      </w:r>
      <w:r w:rsidR="0067350A" w:rsidRPr="00A7383C">
        <w:rPr>
          <w:b/>
          <w:sz w:val="22"/>
          <w:szCs w:val="22"/>
        </w:rPr>
        <w:t xml:space="preserve"> (SQC) is a cooperative and the members of the cooperative are: </w:t>
      </w:r>
      <w:r w:rsidR="000D2F88" w:rsidRPr="00A7383C">
        <w:rPr>
          <w:b/>
          <w:sz w:val="22"/>
          <w:szCs w:val="22"/>
        </w:rPr>
        <w:t xml:space="preserve">National Farmers Unions of Scotland, </w:t>
      </w:r>
      <w:r w:rsidR="00DD2ED8" w:rsidRPr="00A7383C">
        <w:rPr>
          <w:b/>
          <w:sz w:val="22"/>
          <w:szCs w:val="22"/>
        </w:rPr>
        <w:t>Agricultural</w:t>
      </w:r>
      <w:r w:rsidR="000D2F88" w:rsidRPr="00A7383C">
        <w:rPr>
          <w:b/>
          <w:sz w:val="22"/>
          <w:szCs w:val="22"/>
        </w:rPr>
        <w:t xml:space="preserve"> Industries Confederation</w:t>
      </w:r>
      <w:r w:rsidR="003C385D" w:rsidRPr="00A7383C">
        <w:rPr>
          <w:b/>
          <w:sz w:val="22"/>
          <w:szCs w:val="22"/>
        </w:rPr>
        <w:t xml:space="preserve">, Scottish Flour Millers Association, </w:t>
      </w:r>
      <w:r w:rsidR="00DD2ED8" w:rsidRPr="00A7383C">
        <w:rPr>
          <w:b/>
          <w:sz w:val="22"/>
          <w:szCs w:val="22"/>
        </w:rPr>
        <w:t>Scottish</w:t>
      </w:r>
      <w:r w:rsidR="003C385D" w:rsidRPr="00A7383C">
        <w:rPr>
          <w:b/>
          <w:sz w:val="22"/>
          <w:szCs w:val="22"/>
        </w:rPr>
        <w:t xml:space="preserve"> </w:t>
      </w:r>
      <w:r w:rsidR="00DD2ED8" w:rsidRPr="00A7383C">
        <w:rPr>
          <w:b/>
          <w:sz w:val="22"/>
          <w:szCs w:val="22"/>
        </w:rPr>
        <w:t>Agricultural</w:t>
      </w:r>
      <w:r w:rsidR="003C385D" w:rsidRPr="00A7383C">
        <w:rPr>
          <w:b/>
          <w:sz w:val="22"/>
          <w:szCs w:val="22"/>
        </w:rPr>
        <w:t xml:space="preserve"> </w:t>
      </w:r>
      <w:r w:rsidR="004F4D5D" w:rsidRPr="00A7383C">
        <w:rPr>
          <w:b/>
          <w:sz w:val="22"/>
          <w:szCs w:val="22"/>
        </w:rPr>
        <w:t xml:space="preserve">Organisation Society, </w:t>
      </w:r>
      <w:r w:rsidR="00DD2ED8" w:rsidRPr="00A7383C">
        <w:rPr>
          <w:b/>
          <w:sz w:val="22"/>
          <w:szCs w:val="22"/>
        </w:rPr>
        <w:t>Maltsters</w:t>
      </w:r>
      <w:r w:rsidR="004F4D5D" w:rsidRPr="00A7383C">
        <w:rPr>
          <w:b/>
          <w:sz w:val="22"/>
          <w:szCs w:val="22"/>
        </w:rPr>
        <w:t xml:space="preserve"> Association of Great </w:t>
      </w:r>
      <w:r w:rsidR="00DD2ED8" w:rsidRPr="00A7383C">
        <w:rPr>
          <w:b/>
          <w:sz w:val="22"/>
          <w:szCs w:val="22"/>
        </w:rPr>
        <w:t>Britain</w:t>
      </w:r>
      <w:r w:rsidR="004F4D5D" w:rsidRPr="00A7383C">
        <w:rPr>
          <w:b/>
          <w:sz w:val="22"/>
          <w:szCs w:val="22"/>
        </w:rPr>
        <w:t xml:space="preserve">, </w:t>
      </w:r>
      <w:r w:rsidR="00DD2ED8" w:rsidRPr="00A7383C">
        <w:rPr>
          <w:b/>
          <w:sz w:val="22"/>
          <w:szCs w:val="22"/>
        </w:rPr>
        <w:t>The Scottish Whisky Association and SRUC</w:t>
      </w:r>
      <w:r w:rsidR="00DD2ED8">
        <w:rPr>
          <w:b/>
          <w:sz w:val="22"/>
          <w:szCs w:val="22"/>
        </w:rPr>
        <w:t xml:space="preserve">.  </w:t>
      </w:r>
      <w:r w:rsidRPr="004800EC">
        <w:rPr>
          <w:b/>
          <w:sz w:val="22"/>
          <w:szCs w:val="22"/>
        </w:rPr>
        <w:t xml:space="preserve">The Board </w:t>
      </w:r>
      <w:r w:rsidRPr="004800EC">
        <w:rPr>
          <w:b/>
          <w:sz w:val="22"/>
          <w:szCs w:val="22"/>
        </w:rPr>
        <w:lastRenderedPageBreak/>
        <w:t xml:space="preserve">members have a wide range of experience and represent interests from all areas in which SQC operates. </w:t>
      </w:r>
      <w:r w:rsidR="005177A2">
        <w:rPr>
          <w:b/>
          <w:sz w:val="22"/>
          <w:szCs w:val="22"/>
        </w:rPr>
        <w:t xml:space="preserve">Specialist technical industry advice is </w:t>
      </w:r>
      <w:r w:rsidR="001064F1">
        <w:rPr>
          <w:b/>
          <w:sz w:val="22"/>
          <w:szCs w:val="22"/>
        </w:rPr>
        <w:t xml:space="preserve">accessed when required </w:t>
      </w:r>
      <w:r w:rsidR="005A456B">
        <w:rPr>
          <w:b/>
          <w:sz w:val="22"/>
          <w:szCs w:val="22"/>
        </w:rPr>
        <w:t>via the Technica</w:t>
      </w:r>
      <w:r w:rsidR="00FD1E65">
        <w:rPr>
          <w:b/>
          <w:sz w:val="22"/>
          <w:szCs w:val="22"/>
        </w:rPr>
        <w:t xml:space="preserve">l </w:t>
      </w:r>
      <w:r w:rsidR="00F72901">
        <w:rPr>
          <w:b/>
          <w:sz w:val="22"/>
          <w:szCs w:val="22"/>
        </w:rPr>
        <w:t>Group.</w:t>
      </w:r>
    </w:p>
    <w:p w14:paraId="356EA0EF" w14:textId="7020BC0D" w:rsidR="00AE5FD7" w:rsidRDefault="00AE5FD7" w:rsidP="00AE22A2">
      <w:pPr>
        <w:pStyle w:val="BodyText"/>
        <w:spacing w:before="8"/>
        <w:rPr>
          <w:b/>
          <w:sz w:val="22"/>
          <w:szCs w:val="22"/>
        </w:rPr>
      </w:pPr>
    </w:p>
    <w:p w14:paraId="32DB26A6" w14:textId="70E6D382" w:rsidR="00AE5FD7" w:rsidRPr="004800EC" w:rsidRDefault="00AE5FD7" w:rsidP="00AE22A2">
      <w:pPr>
        <w:pStyle w:val="BodyText"/>
        <w:spacing w:before="8"/>
        <w:rPr>
          <w:b/>
          <w:sz w:val="22"/>
          <w:szCs w:val="22"/>
        </w:rPr>
      </w:pPr>
      <w:r>
        <w:rPr>
          <w:b/>
          <w:sz w:val="22"/>
          <w:szCs w:val="22"/>
        </w:rPr>
        <w:t>The Standards are under continuous review. The last full review was undertaken in 202</w:t>
      </w:r>
      <w:r w:rsidR="00C30B61">
        <w:rPr>
          <w:b/>
          <w:sz w:val="22"/>
          <w:szCs w:val="22"/>
        </w:rPr>
        <w:t>1</w:t>
      </w:r>
      <w:r>
        <w:rPr>
          <w:b/>
          <w:sz w:val="22"/>
          <w:szCs w:val="22"/>
        </w:rPr>
        <w:t xml:space="preserve"> and a further review in relation to compliance with the recast RED/Directive (EU) 2018/2001 is being undertaken in 202</w:t>
      </w:r>
      <w:r w:rsidR="005871AE">
        <w:rPr>
          <w:b/>
          <w:sz w:val="22"/>
          <w:szCs w:val="22"/>
        </w:rPr>
        <w:t>2</w:t>
      </w:r>
      <w:r>
        <w:rPr>
          <w:b/>
          <w:sz w:val="22"/>
          <w:szCs w:val="22"/>
        </w:rPr>
        <w:t>.</w:t>
      </w:r>
    </w:p>
    <w:p w14:paraId="3F1461B0" w14:textId="77777777" w:rsidR="00AE22A2" w:rsidRPr="00EA539A" w:rsidRDefault="00AE22A2" w:rsidP="00AE22A2">
      <w:pPr>
        <w:pStyle w:val="BodyText"/>
        <w:spacing w:before="8"/>
        <w:rPr>
          <w:color w:val="FF0000"/>
          <w:sz w:val="22"/>
          <w:szCs w:val="22"/>
        </w:rPr>
      </w:pPr>
    </w:p>
    <w:p w14:paraId="0BF46420" w14:textId="2B00EC6A" w:rsidR="00AE22A2" w:rsidRPr="006F603C" w:rsidRDefault="00AE22A2" w:rsidP="00AE22A2">
      <w:pPr>
        <w:pStyle w:val="ListParagraph"/>
        <w:numPr>
          <w:ilvl w:val="0"/>
          <w:numId w:val="1"/>
        </w:numPr>
        <w:tabs>
          <w:tab w:val="left" w:pos="483"/>
        </w:tabs>
        <w:spacing w:line="252" w:lineRule="auto"/>
        <w:ind w:left="118" w:right="103" w:hanging="2"/>
        <w:jc w:val="both"/>
        <w:rPr>
          <w:color w:val="282A2A"/>
        </w:rPr>
      </w:pPr>
      <w:r w:rsidRPr="00EA539A">
        <w:rPr>
          <w:color w:val="282A2A"/>
          <w:w w:val="105"/>
        </w:rPr>
        <w:t>the overall robustness of the scheme, particularly in light of rules on the accreditation, qualification</w:t>
      </w:r>
      <w:r w:rsidRPr="00EA539A">
        <w:rPr>
          <w:color w:val="282A2A"/>
          <w:spacing w:val="-5"/>
          <w:w w:val="105"/>
        </w:rPr>
        <w:t xml:space="preserve"> </w:t>
      </w:r>
      <w:r w:rsidRPr="00EA539A">
        <w:rPr>
          <w:color w:val="282A2A"/>
          <w:w w:val="105"/>
        </w:rPr>
        <w:t>and</w:t>
      </w:r>
      <w:r w:rsidRPr="00EA539A">
        <w:rPr>
          <w:color w:val="282A2A"/>
          <w:spacing w:val="-11"/>
          <w:w w:val="105"/>
        </w:rPr>
        <w:t xml:space="preserve"> </w:t>
      </w:r>
      <w:r w:rsidRPr="00EA539A">
        <w:rPr>
          <w:color w:val="282A2A"/>
          <w:w w:val="105"/>
        </w:rPr>
        <w:t>independence</w:t>
      </w:r>
      <w:r w:rsidRPr="00EA539A">
        <w:rPr>
          <w:color w:val="282A2A"/>
          <w:spacing w:val="3"/>
          <w:w w:val="105"/>
        </w:rPr>
        <w:t xml:space="preserve"> </w:t>
      </w:r>
      <w:r w:rsidRPr="00EA539A">
        <w:rPr>
          <w:color w:val="282A2A"/>
          <w:w w:val="105"/>
        </w:rPr>
        <w:t>of</w:t>
      </w:r>
      <w:r w:rsidRPr="00EA539A">
        <w:rPr>
          <w:color w:val="282A2A"/>
          <w:spacing w:val="-11"/>
          <w:w w:val="105"/>
        </w:rPr>
        <w:t xml:space="preserve"> </w:t>
      </w:r>
      <w:r w:rsidRPr="00EA539A">
        <w:rPr>
          <w:color w:val="282A2A"/>
          <w:w w:val="105"/>
        </w:rPr>
        <w:t>auditors</w:t>
      </w:r>
      <w:r w:rsidRPr="00EA539A">
        <w:rPr>
          <w:color w:val="282A2A"/>
          <w:spacing w:val="-9"/>
          <w:w w:val="105"/>
        </w:rPr>
        <w:t xml:space="preserve"> </w:t>
      </w:r>
      <w:r w:rsidRPr="00EA539A">
        <w:rPr>
          <w:color w:val="282A2A"/>
          <w:w w:val="105"/>
        </w:rPr>
        <w:t>and</w:t>
      </w:r>
      <w:r w:rsidRPr="00EA539A">
        <w:rPr>
          <w:color w:val="282A2A"/>
          <w:spacing w:val="-12"/>
          <w:w w:val="105"/>
        </w:rPr>
        <w:t xml:space="preserve"> </w:t>
      </w:r>
      <w:r w:rsidRPr="00EA539A">
        <w:rPr>
          <w:color w:val="282A2A"/>
          <w:w w:val="105"/>
        </w:rPr>
        <w:t>relevant</w:t>
      </w:r>
      <w:r w:rsidRPr="00EA539A">
        <w:rPr>
          <w:color w:val="282A2A"/>
          <w:spacing w:val="-3"/>
          <w:w w:val="105"/>
        </w:rPr>
        <w:t xml:space="preserve"> </w:t>
      </w:r>
      <w:r w:rsidRPr="00EA539A">
        <w:rPr>
          <w:color w:val="282A2A"/>
          <w:w w:val="105"/>
        </w:rPr>
        <w:t>scheme</w:t>
      </w:r>
      <w:r w:rsidRPr="00EA539A">
        <w:rPr>
          <w:color w:val="282A2A"/>
          <w:spacing w:val="-7"/>
          <w:w w:val="105"/>
        </w:rPr>
        <w:t xml:space="preserve"> </w:t>
      </w:r>
      <w:r w:rsidRPr="00EA539A">
        <w:rPr>
          <w:color w:val="282A2A"/>
          <w:w w:val="105"/>
        </w:rPr>
        <w:t>bodies</w:t>
      </w:r>
      <w:r w:rsidR="00E9260E">
        <w:rPr>
          <w:color w:val="282A2A"/>
          <w:w w:val="105"/>
        </w:rPr>
        <w:t>:</w:t>
      </w:r>
    </w:p>
    <w:p w14:paraId="39B1CDA2" w14:textId="77777777" w:rsidR="00AE22A2" w:rsidRPr="00EA539A" w:rsidRDefault="00AE22A2" w:rsidP="00AE22A2">
      <w:pPr>
        <w:pStyle w:val="ListParagraph"/>
        <w:tabs>
          <w:tab w:val="left" w:pos="483"/>
        </w:tabs>
        <w:spacing w:line="252" w:lineRule="auto"/>
        <w:ind w:right="103" w:firstLine="0"/>
        <w:jc w:val="left"/>
        <w:rPr>
          <w:color w:val="282A2A"/>
        </w:rPr>
      </w:pPr>
    </w:p>
    <w:p w14:paraId="752A878E" w14:textId="745F651A" w:rsidR="00AE22A2" w:rsidRPr="004800EC" w:rsidRDefault="00AE22A2" w:rsidP="00AE22A2">
      <w:pPr>
        <w:pStyle w:val="BodyText"/>
        <w:rPr>
          <w:b/>
          <w:sz w:val="22"/>
          <w:szCs w:val="22"/>
        </w:rPr>
      </w:pPr>
      <w:r w:rsidRPr="004800EC">
        <w:rPr>
          <w:b/>
          <w:sz w:val="22"/>
          <w:szCs w:val="22"/>
        </w:rPr>
        <w:t xml:space="preserve">The rules of the </w:t>
      </w:r>
      <w:r w:rsidR="00A7383C">
        <w:rPr>
          <w:b/>
          <w:sz w:val="22"/>
          <w:szCs w:val="22"/>
        </w:rPr>
        <w:t>C</w:t>
      </w:r>
      <w:r w:rsidRPr="004800EC">
        <w:rPr>
          <w:b/>
          <w:sz w:val="22"/>
          <w:szCs w:val="22"/>
        </w:rPr>
        <w:t>ertification</w:t>
      </w:r>
      <w:r w:rsidR="00A7383C">
        <w:rPr>
          <w:b/>
          <w:sz w:val="22"/>
          <w:szCs w:val="22"/>
        </w:rPr>
        <w:t xml:space="preserve"> B</w:t>
      </w:r>
      <w:r w:rsidRPr="004800EC">
        <w:rPr>
          <w:b/>
          <w:sz w:val="22"/>
          <w:szCs w:val="22"/>
        </w:rPr>
        <w:t xml:space="preserve">ody, </w:t>
      </w:r>
      <w:r w:rsidR="00BD0345">
        <w:rPr>
          <w:b/>
          <w:sz w:val="22"/>
          <w:szCs w:val="22"/>
        </w:rPr>
        <w:t>LRQA</w:t>
      </w:r>
      <w:r w:rsidR="006F1918">
        <w:rPr>
          <w:b/>
          <w:sz w:val="22"/>
          <w:szCs w:val="22"/>
        </w:rPr>
        <w:t xml:space="preserve">, </w:t>
      </w:r>
      <w:r w:rsidRPr="004800EC">
        <w:rPr>
          <w:b/>
          <w:sz w:val="22"/>
          <w:szCs w:val="22"/>
        </w:rPr>
        <w:t>are published on the SQC website.  The certification body is accredited to ISO17065 by UKAS</w:t>
      </w:r>
      <w:r w:rsidR="001D6294">
        <w:rPr>
          <w:b/>
          <w:sz w:val="22"/>
          <w:szCs w:val="22"/>
        </w:rPr>
        <w:t xml:space="preserve"> and has the relevant extension to scope to </w:t>
      </w:r>
      <w:r w:rsidR="00804516">
        <w:rPr>
          <w:b/>
          <w:sz w:val="22"/>
          <w:szCs w:val="22"/>
        </w:rPr>
        <w:t xml:space="preserve">certify the </w:t>
      </w:r>
      <w:r w:rsidR="0064413C">
        <w:rPr>
          <w:b/>
          <w:sz w:val="22"/>
          <w:szCs w:val="22"/>
        </w:rPr>
        <w:t xml:space="preserve">SQC Scheme </w:t>
      </w:r>
      <w:r w:rsidR="003C5338">
        <w:rPr>
          <w:b/>
          <w:sz w:val="22"/>
          <w:szCs w:val="22"/>
        </w:rPr>
        <w:t>standards</w:t>
      </w:r>
      <w:r w:rsidR="00AE5FD7">
        <w:rPr>
          <w:b/>
          <w:sz w:val="22"/>
          <w:szCs w:val="22"/>
        </w:rPr>
        <w:t>. Full details of the normative and supporting documentation has been provided to the EU Commission as part of the application for recognition as a VS under the recast RED (EU) 2018/2001. These documents cover accreditation, qualification and independence of auditors and relevant sch</w:t>
      </w:r>
      <w:r w:rsidR="00F269F0">
        <w:rPr>
          <w:b/>
          <w:sz w:val="22"/>
          <w:szCs w:val="22"/>
        </w:rPr>
        <w:t>e</w:t>
      </w:r>
      <w:r w:rsidR="00AE5FD7">
        <w:rPr>
          <w:b/>
          <w:sz w:val="22"/>
          <w:szCs w:val="22"/>
        </w:rPr>
        <w:t>me bodies in addition to complaints procedures etc</w:t>
      </w:r>
      <w:r w:rsidR="00BD0345">
        <w:rPr>
          <w:b/>
          <w:sz w:val="22"/>
          <w:szCs w:val="22"/>
        </w:rPr>
        <w:t>.</w:t>
      </w:r>
    </w:p>
    <w:p w14:paraId="7B9F4C44" w14:textId="77777777" w:rsidR="00AE22A2" w:rsidRPr="00EA539A" w:rsidRDefault="00AE22A2" w:rsidP="00AE22A2">
      <w:pPr>
        <w:pStyle w:val="BodyText"/>
        <w:rPr>
          <w:color w:val="FF0000"/>
          <w:sz w:val="22"/>
          <w:szCs w:val="22"/>
        </w:rPr>
      </w:pPr>
    </w:p>
    <w:p w14:paraId="293DCC4F" w14:textId="3748C495" w:rsidR="00AE22A2" w:rsidRPr="006F603C" w:rsidRDefault="00AE22A2" w:rsidP="00AE22A2">
      <w:pPr>
        <w:pStyle w:val="ListParagraph"/>
        <w:numPr>
          <w:ilvl w:val="0"/>
          <w:numId w:val="1"/>
        </w:numPr>
        <w:tabs>
          <w:tab w:val="left" w:pos="426"/>
        </w:tabs>
        <w:spacing w:before="1" w:line="247" w:lineRule="auto"/>
        <w:ind w:left="113" w:right="126" w:firstLine="3"/>
        <w:jc w:val="both"/>
        <w:rPr>
          <w:color w:val="282A2A"/>
        </w:rPr>
      </w:pPr>
      <w:r w:rsidRPr="00EA539A">
        <w:rPr>
          <w:color w:val="282A2A"/>
          <w:w w:val="105"/>
        </w:rPr>
        <w:t>market updates of the scheme, the amount of feedstocks and biofuels certified, by country of origin and type, the number of</w:t>
      </w:r>
      <w:r w:rsidRPr="00EA539A">
        <w:rPr>
          <w:color w:val="282A2A"/>
          <w:spacing w:val="-34"/>
          <w:w w:val="105"/>
        </w:rPr>
        <w:t xml:space="preserve"> </w:t>
      </w:r>
      <w:r w:rsidR="00B84A76">
        <w:rPr>
          <w:color w:val="282A2A"/>
          <w:spacing w:val="-34"/>
          <w:w w:val="105"/>
        </w:rPr>
        <w:t xml:space="preserve"> </w:t>
      </w:r>
      <w:r w:rsidRPr="00EA539A">
        <w:rPr>
          <w:color w:val="282A2A"/>
          <w:w w:val="105"/>
        </w:rPr>
        <w:t>participants</w:t>
      </w:r>
      <w:r w:rsidR="00E9260E">
        <w:rPr>
          <w:color w:val="282A2A"/>
          <w:w w:val="105"/>
        </w:rPr>
        <w:t>:</w:t>
      </w:r>
    </w:p>
    <w:p w14:paraId="42D3B310" w14:textId="77777777" w:rsidR="00AE22A2" w:rsidRPr="00EA539A" w:rsidRDefault="00AE22A2" w:rsidP="00AE22A2">
      <w:pPr>
        <w:pStyle w:val="ListParagraph"/>
        <w:tabs>
          <w:tab w:val="left" w:pos="426"/>
        </w:tabs>
        <w:spacing w:before="1" w:line="247" w:lineRule="auto"/>
        <w:ind w:left="116" w:right="126" w:firstLine="0"/>
        <w:jc w:val="left"/>
        <w:rPr>
          <w:color w:val="282A2A"/>
        </w:rPr>
      </w:pPr>
    </w:p>
    <w:p w14:paraId="7A786430" w14:textId="76EF9CDD" w:rsidR="002901B7" w:rsidRPr="00A7383C" w:rsidRDefault="002901B7" w:rsidP="002901B7">
      <w:pPr>
        <w:rPr>
          <w:b/>
          <w:bCs/>
          <w:color w:val="000000"/>
          <w:lang w:val="en-GB"/>
        </w:rPr>
      </w:pPr>
      <w:r w:rsidRPr="00A7383C">
        <w:rPr>
          <w:b/>
          <w:bCs/>
          <w:color w:val="000000"/>
        </w:rPr>
        <w:t xml:space="preserve">Annual reports will be submitted by SQC prior to 30 April each year and the reporting period will cover the previous harvest year as </w:t>
      </w:r>
      <w:r w:rsidR="00AE5FD7" w:rsidRPr="00A7383C">
        <w:rPr>
          <w:b/>
          <w:bCs/>
          <w:color w:val="000000"/>
        </w:rPr>
        <w:t xml:space="preserve">previously </w:t>
      </w:r>
      <w:r w:rsidRPr="00A7383C">
        <w:rPr>
          <w:b/>
          <w:bCs/>
          <w:color w:val="000000"/>
        </w:rPr>
        <w:t>agreed with the EU Commission</w:t>
      </w:r>
      <w:r w:rsidR="009E42D8" w:rsidRPr="00EA1A86">
        <w:rPr>
          <w:b/>
          <w:bCs/>
        </w:rPr>
        <w:t xml:space="preserve"> ( Bernd </w:t>
      </w:r>
      <w:proofErr w:type="spellStart"/>
      <w:r w:rsidR="009E42D8" w:rsidRPr="00EA1A86">
        <w:rPr>
          <w:b/>
          <w:bCs/>
        </w:rPr>
        <w:t>Kuepker</w:t>
      </w:r>
      <w:proofErr w:type="spellEnd"/>
      <w:r w:rsidR="009E42D8" w:rsidRPr="00EA1A86">
        <w:rPr>
          <w:b/>
          <w:bCs/>
        </w:rPr>
        <w:t>, Policy Officer, Directorate General for Energy in January 2017</w:t>
      </w:r>
      <w:r w:rsidR="00BC4AD1">
        <w:rPr>
          <w:b/>
          <w:bCs/>
        </w:rPr>
        <w:t>. R</w:t>
      </w:r>
      <w:r w:rsidRPr="00EA1A86">
        <w:rPr>
          <w:b/>
          <w:bCs/>
        </w:rPr>
        <w:t>elevan</w:t>
      </w:r>
      <w:r w:rsidRPr="00A7383C">
        <w:rPr>
          <w:b/>
          <w:bCs/>
          <w:color w:val="000000"/>
        </w:rPr>
        <w:t xml:space="preserve">t </w:t>
      </w:r>
      <w:r w:rsidR="00C938FD" w:rsidRPr="00A7383C">
        <w:rPr>
          <w:b/>
          <w:bCs/>
          <w:color w:val="000000"/>
        </w:rPr>
        <w:t xml:space="preserve">harvest </w:t>
      </w:r>
      <w:r w:rsidRPr="00A7383C">
        <w:rPr>
          <w:b/>
          <w:bCs/>
          <w:color w:val="000000"/>
        </w:rPr>
        <w:t xml:space="preserve">dates </w:t>
      </w:r>
      <w:r w:rsidR="00A7383C" w:rsidRPr="00A7383C">
        <w:rPr>
          <w:b/>
          <w:bCs/>
          <w:color w:val="000000"/>
        </w:rPr>
        <w:t>for this submission are 1</w:t>
      </w:r>
      <w:r w:rsidR="00A7383C" w:rsidRPr="00A7383C">
        <w:rPr>
          <w:b/>
          <w:bCs/>
          <w:color w:val="000000"/>
          <w:vertAlign w:val="superscript"/>
        </w:rPr>
        <w:t>st</w:t>
      </w:r>
      <w:r w:rsidR="00536128">
        <w:rPr>
          <w:b/>
          <w:bCs/>
          <w:color w:val="000000"/>
        </w:rPr>
        <w:t xml:space="preserve"> October</w:t>
      </w:r>
      <w:r w:rsidR="00A7383C" w:rsidRPr="00A7383C">
        <w:rPr>
          <w:b/>
          <w:bCs/>
          <w:color w:val="000000"/>
        </w:rPr>
        <w:t xml:space="preserve"> 20</w:t>
      </w:r>
      <w:r w:rsidR="00BD0345">
        <w:rPr>
          <w:b/>
          <w:bCs/>
          <w:color w:val="000000"/>
        </w:rPr>
        <w:t>20</w:t>
      </w:r>
      <w:r w:rsidR="00A7383C" w:rsidRPr="00A7383C">
        <w:rPr>
          <w:b/>
          <w:bCs/>
          <w:color w:val="000000"/>
        </w:rPr>
        <w:t xml:space="preserve"> to the </w:t>
      </w:r>
      <w:r w:rsidR="0040576F">
        <w:rPr>
          <w:b/>
          <w:bCs/>
          <w:color w:val="000000"/>
        </w:rPr>
        <w:t>30</w:t>
      </w:r>
      <w:r w:rsidR="0040576F" w:rsidRPr="0007441F">
        <w:rPr>
          <w:b/>
          <w:bCs/>
          <w:color w:val="000000"/>
          <w:vertAlign w:val="superscript"/>
        </w:rPr>
        <w:t>th</w:t>
      </w:r>
      <w:r w:rsidR="0040576F">
        <w:rPr>
          <w:b/>
          <w:bCs/>
          <w:color w:val="000000"/>
        </w:rPr>
        <w:t xml:space="preserve"> </w:t>
      </w:r>
      <w:r w:rsidR="00A7383C" w:rsidRPr="00A7383C">
        <w:rPr>
          <w:b/>
          <w:bCs/>
          <w:color w:val="000000"/>
        </w:rPr>
        <w:t>September 20</w:t>
      </w:r>
      <w:r w:rsidR="00BD0345">
        <w:rPr>
          <w:b/>
          <w:bCs/>
          <w:color w:val="000000"/>
        </w:rPr>
        <w:t>21</w:t>
      </w:r>
      <w:r w:rsidRPr="00A7383C">
        <w:rPr>
          <w:b/>
          <w:bCs/>
          <w:color w:val="000000"/>
        </w:rPr>
        <w:t>. In addition, it is confirmed that the data will be submitted to the Commission in the format specified i.e. the Data Reporting template. SQC reports upon the following in terms of market update:</w:t>
      </w:r>
    </w:p>
    <w:p w14:paraId="77A87F6C" w14:textId="655D92ED" w:rsidR="002901B7" w:rsidRPr="00A7383C" w:rsidRDefault="002901B7" w:rsidP="002901B7">
      <w:pPr>
        <w:pStyle w:val="ListParagraph"/>
        <w:widowControl/>
        <w:numPr>
          <w:ilvl w:val="0"/>
          <w:numId w:val="2"/>
        </w:numPr>
        <w:spacing w:line="293" w:lineRule="exact"/>
        <w:rPr>
          <w:b/>
          <w:bCs/>
          <w:color w:val="000000"/>
        </w:rPr>
      </w:pPr>
      <w:r w:rsidRPr="00A7383C">
        <w:rPr>
          <w:b/>
          <w:bCs/>
          <w:color w:val="000000"/>
        </w:rPr>
        <w:t>country of origin and type of the feedstock (such as wheat, rapeseed etc</w:t>
      </w:r>
      <w:r w:rsidR="00BD0345">
        <w:rPr>
          <w:b/>
          <w:bCs/>
          <w:color w:val="000000"/>
        </w:rPr>
        <w:t>.</w:t>
      </w:r>
      <w:r w:rsidRPr="00A7383C">
        <w:rPr>
          <w:b/>
          <w:bCs/>
          <w:color w:val="000000"/>
        </w:rPr>
        <w:t>) certified in the relevant/specified harvest year</w:t>
      </w:r>
      <w:r w:rsidR="00F269F0" w:rsidRPr="00A7383C">
        <w:rPr>
          <w:b/>
          <w:bCs/>
          <w:color w:val="000000"/>
        </w:rPr>
        <w:t xml:space="preserve"> </w:t>
      </w:r>
      <w:proofErr w:type="spellStart"/>
      <w:r w:rsidR="00F269F0" w:rsidRPr="00A7383C">
        <w:rPr>
          <w:b/>
          <w:bCs/>
          <w:color w:val="000000"/>
        </w:rPr>
        <w:t>ie</w:t>
      </w:r>
      <w:proofErr w:type="spellEnd"/>
      <w:r w:rsidR="00F269F0" w:rsidRPr="00A7383C">
        <w:rPr>
          <w:b/>
          <w:bCs/>
          <w:color w:val="000000"/>
        </w:rPr>
        <w:t xml:space="preserve"> </w:t>
      </w:r>
      <w:r w:rsidR="00C938FD" w:rsidRPr="00A7383C">
        <w:rPr>
          <w:b/>
          <w:bCs/>
          <w:color w:val="000000"/>
        </w:rPr>
        <w:t xml:space="preserve">for the current Annual Report </w:t>
      </w:r>
      <w:r w:rsidR="00F269F0" w:rsidRPr="00A7383C">
        <w:rPr>
          <w:b/>
          <w:bCs/>
          <w:color w:val="000000"/>
        </w:rPr>
        <w:t>20</w:t>
      </w:r>
      <w:r w:rsidR="00BD0345">
        <w:rPr>
          <w:b/>
          <w:bCs/>
          <w:color w:val="000000"/>
        </w:rPr>
        <w:t>20/21</w:t>
      </w:r>
    </w:p>
    <w:p w14:paraId="162D3811" w14:textId="0C928C36" w:rsidR="002901B7" w:rsidRPr="00A7383C" w:rsidRDefault="002901B7" w:rsidP="002901B7">
      <w:pPr>
        <w:pStyle w:val="ListParagraph"/>
        <w:widowControl/>
        <w:numPr>
          <w:ilvl w:val="0"/>
          <w:numId w:val="2"/>
        </w:numPr>
        <w:spacing w:line="293" w:lineRule="exact"/>
        <w:rPr>
          <w:b/>
          <w:bCs/>
          <w:color w:val="000000"/>
        </w:rPr>
      </w:pPr>
      <w:r w:rsidRPr="00A7383C">
        <w:rPr>
          <w:b/>
          <w:bCs/>
          <w:color w:val="000000"/>
        </w:rPr>
        <w:t>the number of scheme participants in that harvest year</w:t>
      </w:r>
      <w:r w:rsidR="00C938FD" w:rsidRPr="00A7383C">
        <w:rPr>
          <w:b/>
          <w:bCs/>
          <w:color w:val="000000"/>
        </w:rPr>
        <w:t xml:space="preserve"> which for 20</w:t>
      </w:r>
      <w:r w:rsidR="00BD0345">
        <w:rPr>
          <w:b/>
          <w:bCs/>
          <w:color w:val="000000"/>
        </w:rPr>
        <w:t>20/21</w:t>
      </w:r>
      <w:r w:rsidR="00C938FD" w:rsidRPr="00A7383C">
        <w:rPr>
          <w:b/>
          <w:bCs/>
          <w:color w:val="000000"/>
        </w:rPr>
        <w:t xml:space="preserve"> was </w:t>
      </w:r>
      <w:r w:rsidR="001F0F05">
        <w:rPr>
          <w:b/>
          <w:bCs/>
          <w:color w:val="000000"/>
        </w:rPr>
        <w:t>3158</w:t>
      </w:r>
    </w:p>
    <w:p w14:paraId="5FCC91F5" w14:textId="04D9D660" w:rsidR="002901B7" w:rsidRPr="00A7383C" w:rsidRDefault="002901B7" w:rsidP="002901B7">
      <w:pPr>
        <w:pStyle w:val="ListParagraph"/>
        <w:widowControl/>
        <w:numPr>
          <w:ilvl w:val="0"/>
          <w:numId w:val="2"/>
        </w:numPr>
        <w:spacing w:line="293" w:lineRule="exact"/>
        <w:rPr>
          <w:b/>
          <w:bCs/>
          <w:color w:val="000000"/>
        </w:rPr>
      </w:pPr>
      <w:r w:rsidRPr="00A7383C">
        <w:rPr>
          <w:b/>
          <w:bCs/>
          <w:color w:val="000000"/>
        </w:rPr>
        <w:t xml:space="preserve">the amount of feedstocks certified </w:t>
      </w:r>
      <w:r w:rsidR="00C938FD" w:rsidRPr="00A7383C">
        <w:rPr>
          <w:b/>
          <w:bCs/>
          <w:color w:val="000000"/>
        </w:rPr>
        <w:t xml:space="preserve">as being compliant under RED </w:t>
      </w:r>
      <w:r w:rsidRPr="00A7383C">
        <w:rPr>
          <w:b/>
          <w:bCs/>
          <w:color w:val="000000"/>
        </w:rPr>
        <w:t>taking account the total area of eligible crops verified at annual audit and the relevant final yield data for that harvest year for the crops as published by the Scottish and English authorities</w:t>
      </w:r>
      <w:r w:rsidR="00B114A5">
        <w:rPr>
          <w:b/>
          <w:bCs/>
          <w:color w:val="000000"/>
        </w:rPr>
        <w:t xml:space="preserve">. </w:t>
      </w:r>
    </w:p>
    <w:p w14:paraId="03936467" w14:textId="77777777" w:rsidR="00AE22A2" w:rsidRPr="00EA539A" w:rsidRDefault="00AE22A2" w:rsidP="00AE22A2">
      <w:pPr>
        <w:pStyle w:val="BodyText"/>
        <w:spacing w:before="10"/>
        <w:rPr>
          <w:color w:val="FF0000"/>
          <w:sz w:val="22"/>
          <w:szCs w:val="22"/>
        </w:rPr>
      </w:pPr>
    </w:p>
    <w:p w14:paraId="487F855B" w14:textId="0581AA10" w:rsidR="00AE22A2" w:rsidRPr="006F603C" w:rsidRDefault="00AE22A2" w:rsidP="00AE22A2">
      <w:pPr>
        <w:pStyle w:val="ListParagraph"/>
        <w:numPr>
          <w:ilvl w:val="0"/>
          <w:numId w:val="1"/>
        </w:numPr>
        <w:tabs>
          <w:tab w:val="left" w:pos="474"/>
        </w:tabs>
        <w:spacing w:before="1" w:line="249" w:lineRule="auto"/>
        <w:ind w:left="113" w:right="115" w:firstLine="3"/>
        <w:jc w:val="both"/>
        <w:rPr>
          <w:color w:val="383838"/>
        </w:rPr>
      </w:pPr>
      <w:r w:rsidRPr="00EA539A">
        <w:rPr>
          <w:color w:val="282A2A"/>
          <w:w w:val="105"/>
        </w:rPr>
        <w:t xml:space="preserve">the ease and effectiveness of implementing a system that tracks the proofs of conformity with the sustainability criteria that the scheme gives to its member(s), such a system intended to serve as a means of preventing </w:t>
      </w:r>
      <w:r w:rsidRPr="00EA539A">
        <w:rPr>
          <w:color w:val="383838"/>
          <w:w w:val="105"/>
        </w:rPr>
        <w:t xml:space="preserve">fraudulent </w:t>
      </w:r>
      <w:r w:rsidRPr="00EA539A">
        <w:rPr>
          <w:color w:val="282A2A"/>
          <w:w w:val="105"/>
        </w:rPr>
        <w:t xml:space="preserve">activity with a view, </w:t>
      </w:r>
      <w:r w:rsidRPr="00EA539A">
        <w:rPr>
          <w:color w:val="383838"/>
          <w:w w:val="105"/>
        </w:rPr>
        <w:t xml:space="preserve">in </w:t>
      </w:r>
      <w:r w:rsidRPr="00EA539A">
        <w:rPr>
          <w:color w:val="282A2A"/>
          <w:w w:val="105"/>
        </w:rPr>
        <w:t>particular, to the detection, treatment and follow-up of suspected fraud and other irregularities and where appropriate, number</w:t>
      </w:r>
      <w:r w:rsidRPr="00EA539A">
        <w:rPr>
          <w:color w:val="282A2A"/>
          <w:spacing w:val="2"/>
          <w:w w:val="105"/>
        </w:rPr>
        <w:t xml:space="preserve"> </w:t>
      </w:r>
      <w:r w:rsidRPr="00EA539A">
        <w:rPr>
          <w:color w:val="282A2A"/>
          <w:w w:val="105"/>
        </w:rPr>
        <w:t>of</w:t>
      </w:r>
      <w:r w:rsidRPr="00EA539A">
        <w:rPr>
          <w:color w:val="282A2A"/>
          <w:spacing w:val="-9"/>
          <w:w w:val="105"/>
        </w:rPr>
        <w:t xml:space="preserve"> </w:t>
      </w:r>
      <w:r w:rsidRPr="00EA539A">
        <w:rPr>
          <w:color w:val="282A2A"/>
          <w:w w:val="105"/>
        </w:rPr>
        <w:t>cases</w:t>
      </w:r>
      <w:r w:rsidRPr="00EA539A">
        <w:rPr>
          <w:color w:val="282A2A"/>
          <w:spacing w:val="-8"/>
          <w:w w:val="105"/>
        </w:rPr>
        <w:t xml:space="preserve"> </w:t>
      </w:r>
      <w:r w:rsidRPr="00EA539A">
        <w:rPr>
          <w:color w:val="282A2A"/>
          <w:w w:val="105"/>
        </w:rPr>
        <w:t>of</w:t>
      </w:r>
      <w:r w:rsidRPr="00EA539A">
        <w:rPr>
          <w:color w:val="282A2A"/>
          <w:spacing w:val="-14"/>
          <w:w w:val="105"/>
        </w:rPr>
        <w:t xml:space="preserve"> </w:t>
      </w:r>
      <w:r w:rsidRPr="00EA539A">
        <w:rPr>
          <w:color w:val="282A2A"/>
          <w:w w:val="105"/>
        </w:rPr>
        <w:t>fraud</w:t>
      </w:r>
      <w:r w:rsidRPr="00EA539A">
        <w:rPr>
          <w:color w:val="282A2A"/>
          <w:spacing w:val="-1"/>
          <w:w w:val="105"/>
        </w:rPr>
        <w:t xml:space="preserve"> </w:t>
      </w:r>
      <w:r w:rsidRPr="00EA539A">
        <w:rPr>
          <w:color w:val="282A2A"/>
          <w:w w:val="105"/>
        </w:rPr>
        <w:t>or</w:t>
      </w:r>
      <w:r w:rsidRPr="00EA539A">
        <w:rPr>
          <w:color w:val="282A2A"/>
          <w:spacing w:val="-17"/>
          <w:w w:val="105"/>
        </w:rPr>
        <w:t xml:space="preserve"> </w:t>
      </w:r>
      <w:r w:rsidRPr="00EA539A">
        <w:rPr>
          <w:color w:val="282A2A"/>
          <w:w w:val="105"/>
        </w:rPr>
        <w:t>irregularities</w:t>
      </w:r>
      <w:r w:rsidRPr="00EA539A">
        <w:rPr>
          <w:color w:val="282A2A"/>
          <w:spacing w:val="-13"/>
          <w:w w:val="105"/>
        </w:rPr>
        <w:t xml:space="preserve"> </w:t>
      </w:r>
      <w:r w:rsidRPr="00EA539A">
        <w:rPr>
          <w:color w:val="282A2A"/>
          <w:w w:val="105"/>
        </w:rPr>
        <w:t>detected</w:t>
      </w:r>
      <w:r w:rsidR="003E735D">
        <w:rPr>
          <w:color w:val="282A2A"/>
          <w:w w:val="105"/>
        </w:rPr>
        <w:t>:</w:t>
      </w:r>
    </w:p>
    <w:p w14:paraId="5F2BC7E7" w14:textId="77777777" w:rsidR="00AE22A2" w:rsidRPr="00EA539A" w:rsidRDefault="00AE22A2" w:rsidP="00AE22A2">
      <w:pPr>
        <w:pStyle w:val="ListParagraph"/>
        <w:tabs>
          <w:tab w:val="left" w:pos="474"/>
        </w:tabs>
        <w:spacing w:before="1" w:line="249" w:lineRule="auto"/>
        <w:ind w:left="116" w:right="115" w:firstLine="0"/>
        <w:jc w:val="left"/>
        <w:rPr>
          <w:color w:val="383838"/>
        </w:rPr>
      </w:pPr>
    </w:p>
    <w:p w14:paraId="2DA0CC93" w14:textId="304F625A" w:rsidR="00AE22A2" w:rsidRDefault="00AE22A2" w:rsidP="00AE22A2">
      <w:pPr>
        <w:pStyle w:val="BodyText"/>
        <w:spacing w:before="1"/>
        <w:rPr>
          <w:b/>
          <w:sz w:val="22"/>
          <w:szCs w:val="22"/>
        </w:rPr>
      </w:pPr>
      <w:r w:rsidRPr="004800EC">
        <w:rPr>
          <w:b/>
          <w:sz w:val="22"/>
          <w:szCs w:val="22"/>
        </w:rPr>
        <w:t xml:space="preserve">SQC only audits that land is </w:t>
      </w:r>
      <w:r w:rsidR="004800EC" w:rsidRPr="004800EC">
        <w:rPr>
          <w:b/>
          <w:sz w:val="22"/>
          <w:szCs w:val="22"/>
        </w:rPr>
        <w:t>compliant, or</w:t>
      </w:r>
      <w:r w:rsidRPr="004800EC">
        <w:rPr>
          <w:b/>
          <w:sz w:val="22"/>
          <w:szCs w:val="22"/>
        </w:rPr>
        <w:t xml:space="preserve"> not, on an ongoing annual audit.  This is recorded on a database.</w:t>
      </w:r>
      <w:r w:rsidR="00C938FD">
        <w:rPr>
          <w:b/>
          <w:sz w:val="22"/>
          <w:szCs w:val="22"/>
        </w:rPr>
        <w:t xml:space="preserve"> In addition a </w:t>
      </w:r>
      <w:proofErr w:type="spellStart"/>
      <w:r w:rsidR="00C938FD">
        <w:rPr>
          <w:b/>
          <w:sz w:val="22"/>
          <w:szCs w:val="22"/>
        </w:rPr>
        <w:t>post harvest</w:t>
      </w:r>
      <w:proofErr w:type="spellEnd"/>
      <w:r w:rsidR="00C938FD">
        <w:rPr>
          <w:b/>
          <w:sz w:val="22"/>
          <w:szCs w:val="22"/>
        </w:rPr>
        <w:t xml:space="preserve"> declaration form or grain passport (copy attached</w:t>
      </w:r>
      <w:r w:rsidR="00CE3B0F">
        <w:rPr>
          <w:b/>
          <w:sz w:val="22"/>
          <w:szCs w:val="22"/>
        </w:rPr>
        <w:t>, 2021 version</w:t>
      </w:r>
      <w:r w:rsidR="00C938FD">
        <w:rPr>
          <w:b/>
          <w:sz w:val="22"/>
          <w:szCs w:val="22"/>
        </w:rPr>
        <w:t xml:space="preserve">) accompanies each load leaving the farm and it includes a signed, dated declaration </w:t>
      </w:r>
      <w:r w:rsidR="00D92ED3">
        <w:rPr>
          <w:b/>
          <w:sz w:val="22"/>
          <w:szCs w:val="22"/>
        </w:rPr>
        <w:t xml:space="preserve">that </w:t>
      </w:r>
      <w:r w:rsidR="00C938FD">
        <w:rPr>
          <w:b/>
          <w:sz w:val="22"/>
          <w:szCs w:val="22"/>
        </w:rPr>
        <w:t xml:space="preserve">the </w:t>
      </w:r>
      <w:r w:rsidR="00D92ED3">
        <w:rPr>
          <w:b/>
          <w:sz w:val="22"/>
          <w:szCs w:val="22"/>
        </w:rPr>
        <w:t xml:space="preserve">crop </w:t>
      </w:r>
      <w:r w:rsidR="00C938FD">
        <w:rPr>
          <w:b/>
          <w:sz w:val="22"/>
          <w:szCs w:val="22"/>
        </w:rPr>
        <w:t xml:space="preserve">has been grown on land that meets the required sustainability criteria. </w:t>
      </w:r>
    </w:p>
    <w:p w14:paraId="480A1DB0" w14:textId="4721CFE4" w:rsidR="00C938FD" w:rsidRDefault="00C938FD" w:rsidP="00AE22A2">
      <w:pPr>
        <w:pStyle w:val="BodyText"/>
        <w:spacing w:before="1"/>
        <w:rPr>
          <w:b/>
          <w:sz w:val="22"/>
          <w:szCs w:val="22"/>
        </w:rPr>
      </w:pPr>
    </w:p>
    <w:p w14:paraId="77312754" w14:textId="0F389C13" w:rsidR="00C938FD" w:rsidRPr="004800EC" w:rsidRDefault="00C938FD" w:rsidP="00AE22A2">
      <w:pPr>
        <w:pStyle w:val="BodyText"/>
        <w:spacing w:before="1"/>
        <w:rPr>
          <w:b/>
          <w:sz w:val="22"/>
          <w:szCs w:val="22"/>
        </w:rPr>
      </w:pPr>
      <w:r>
        <w:rPr>
          <w:b/>
          <w:sz w:val="22"/>
          <w:szCs w:val="22"/>
        </w:rPr>
        <w:t>Any false or misleading statement made on the application form, during assessments or in any communication may lead to suspension or withdrawal of certification. Members are also required to notify the CB of any pro</w:t>
      </w:r>
      <w:r w:rsidR="00956C81">
        <w:rPr>
          <w:b/>
          <w:sz w:val="22"/>
          <w:szCs w:val="22"/>
        </w:rPr>
        <w:t xml:space="preserve">secution brought or likely to be brought against them with respect to any issues covered by the standards.  Upon receipt of any enforcement challenges or prosecutions </w:t>
      </w:r>
      <w:proofErr w:type="spellStart"/>
      <w:r w:rsidR="00956C81">
        <w:rPr>
          <w:b/>
          <w:sz w:val="22"/>
          <w:szCs w:val="22"/>
        </w:rPr>
        <w:t>etc</w:t>
      </w:r>
      <w:proofErr w:type="spellEnd"/>
      <w:r w:rsidR="00956C81">
        <w:rPr>
          <w:b/>
          <w:sz w:val="22"/>
          <w:szCs w:val="22"/>
        </w:rPr>
        <w:t xml:space="preserve"> SQC is able to follow up with a</w:t>
      </w:r>
      <w:r w:rsidR="005D6F62">
        <w:rPr>
          <w:b/>
          <w:sz w:val="22"/>
          <w:szCs w:val="22"/>
        </w:rPr>
        <w:t xml:space="preserve"> thorough </w:t>
      </w:r>
      <w:r w:rsidR="00956C81">
        <w:rPr>
          <w:b/>
          <w:sz w:val="22"/>
          <w:szCs w:val="22"/>
        </w:rPr>
        <w:t xml:space="preserve">investigation. </w:t>
      </w:r>
    </w:p>
    <w:p w14:paraId="0CD4ED36" w14:textId="77777777" w:rsidR="00AE22A2" w:rsidRPr="006F603C" w:rsidRDefault="00AE22A2" w:rsidP="00AE22A2">
      <w:pPr>
        <w:pStyle w:val="BodyText"/>
        <w:spacing w:before="1"/>
        <w:rPr>
          <w:sz w:val="22"/>
          <w:szCs w:val="22"/>
        </w:rPr>
      </w:pPr>
    </w:p>
    <w:p w14:paraId="5F9CE0DF" w14:textId="024EBB05" w:rsidR="00AE22A2" w:rsidRPr="004800EC" w:rsidRDefault="00AE22A2" w:rsidP="00AE22A2">
      <w:pPr>
        <w:pStyle w:val="ListParagraph"/>
        <w:numPr>
          <w:ilvl w:val="0"/>
          <w:numId w:val="1"/>
        </w:numPr>
        <w:tabs>
          <w:tab w:val="left" w:pos="454"/>
        </w:tabs>
        <w:ind w:left="453" w:hanging="337"/>
        <w:jc w:val="both"/>
        <w:rPr>
          <w:color w:val="282A2A"/>
        </w:rPr>
      </w:pPr>
      <w:r w:rsidRPr="00EA539A">
        <w:rPr>
          <w:color w:val="282A2A"/>
          <w:w w:val="105"/>
        </w:rPr>
        <w:t>options</w:t>
      </w:r>
      <w:r w:rsidRPr="00EA539A">
        <w:rPr>
          <w:color w:val="282A2A"/>
          <w:spacing w:val="-8"/>
          <w:w w:val="105"/>
        </w:rPr>
        <w:t xml:space="preserve"> </w:t>
      </w:r>
      <w:r w:rsidRPr="00EA539A">
        <w:rPr>
          <w:color w:val="282A2A"/>
          <w:w w:val="105"/>
        </w:rPr>
        <w:t>for</w:t>
      </w:r>
      <w:r w:rsidRPr="00EA539A">
        <w:rPr>
          <w:color w:val="282A2A"/>
          <w:spacing w:val="-10"/>
          <w:w w:val="105"/>
        </w:rPr>
        <w:t xml:space="preserve"> </w:t>
      </w:r>
      <w:r w:rsidRPr="00EA539A">
        <w:rPr>
          <w:color w:val="282A2A"/>
          <w:w w:val="105"/>
        </w:rPr>
        <w:t>entities</w:t>
      </w:r>
      <w:r w:rsidRPr="00EA539A">
        <w:rPr>
          <w:color w:val="282A2A"/>
          <w:spacing w:val="-5"/>
          <w:w w:val="105"/>
        </w:rPr>
        <w:t xml:space="preserve"> </w:t>
      </w:r>
      <w:r w:rsidRPr="00EA539A">
        <w:rPr>
          <w:color w:val="282A2A"/>
          <w:w w:val="105"/>
        </w:rPr>
        <w:t>to</w:t>
      </w:r>
      <w:r w:rsidRPr="00EA539A">
        <w:rPr>
          <w:color w:val="282A2A"/>
          <w:spacing w:val="-5"/>
          <w:w w:val="105"/>
        </w:rPr>
        <w:t xml:space="preserve"> </w:t>
      </w:r>
      <w:r w:rsidRPr="00EA539A">
        <w:rPr>
          <w:color w:val="282A2A"/>
          <w:w w:val="105"/>
        </w:rPr>
        <w:t>be</w:t>
      </w:r>
      <w:r w:rsidRPr="00EA539A">
        <w:rPr>
          <w:color w:val="282A2A"/>
          <w:spacing w:val="-14"/>
          <w:w w:val="105"/>
        </w:rPr>
        <w:t xml:space="preserve"> </w:t>
      </w:r>
      <w:r w:rsidRPr="00EA539A">
        <w:rPr>
          <w:color w:val="282A2A"/>
          <w:w w:val="105"/>
        </w:rPr>
        <w:t>authorised</w:t>
      </w:r>
      <w:r w:rsidRPr="00EA539A">
        <w:rPr>
          <w:color w:val="282A2A"/>
          <w:spacing w:val="1"/>
          <w:w w:val="105"/>
        </w:rPr>
        <w:t xml:space="preserve"> </w:t>
      </w:r>
      <w:r w:rsidRPr="00EA539A">
        <w:rPr>
          <w:color w:val="282A2A"/>
          <w:w w:val="105"/>
        </w:rPr>
        <w:t>to</w:t>
      </w:r>
      <w:r w:rsidRPr="00EA539A">
        <w:rPr>
          <w:color w:val="282A2A"/>
          <w:spacing w:val="-15"/>
          <w:w w:val="105"/>
        </w:rPr>
        <w:t xml:space="preserve"> </w:t>
      </w:r>
      <w:r w:rsidRPr="00EA539A">
        <w:rPr>
          <w:color w:val="282A2A"/>
          <w:w w:val="105"/>
        </w:rPr>
        <w:t>recognise</w:t>
      </w:r>
      <w:r w:rsidRPr="00EA539A">
        <w:rPr>
          <w:color w:val="282A2A"/>
          <w:spacing w:val="-4"/>
          <w:w w:val="105"/>
        </w:rPr>
        <w:t xml:space="preserve"> </w:t>
      </w:r>
      <w:r w:rsidRPr="00EA539A">
        <w:rPr>
          <w:color w:val="282A2A"/>
          <w:w w:val="105"/>
        </w:rPr>
        <w:t>and</w:t>
      </w:r>
      <w:r w:rsidRPr="00EA539A">
        <w:rPr>
          <w:color w:val="282A2A"/>
          <w:spacing w:val="-13"/>
          <w:w w:val="105"/>
        </w:rPr>
        <w:t xml:space="preserve"> </w:t>
      </w:r>
      <w:r w:rsidRPr="00EA539A">
        <w:rPr>
          <w:color w:val="282A2A"/>
          <w:w w:val="105"/>
        </w:rPr>
        <w:t>monitor certification</w:t>
      </w:r>
      <w:r w:rsidRPr="00EA539A">
        <w:rPr>
          <w:color w:val="282A2A"/>
          <w:spacing w:val="12"/>
          <w:w w:val="105"/>
        </w:rPr>
        <w:t xml:space="preserve"> </w:t>
      </w:r>
      <w:r w:rsidRPr="00EA539A">
        <w:rPr>
          <w:color w:val="282A2A"/>
          <w:w w:val="105"/>
        </w:rPr>
        <w:t>bodies</w:t>
      </w:r>
      <w:r w:rsidR="00DA79C6">
        <w:rPr>
          <w:color w:val="282A2A"/>
          <w:w w:val="105"/>
        </w:rPr>
        <w:t>:</w:t>
      </w:r>
    </w:p>
    <w:p w14:paraId="53B6B9C3" w14:textId="77777777" w:rsidR="004800EC" w:rsidRPr="004800EC" w:rsidRDefault="004800EC" w:rsidP="004800EC">
      <w:pPr>
        <w:tabs>
          <w:tab w:val="left" w:pos="454"/>
        </w:tabs>
        <w:ind w:left="116"/>
        <w:rPr>
          <w:color w:val="282A2A"/>
        </w:rPr>
      </w:pPr>
    </w:p>
    <w:p w14:paraId="206BA3F4" w14:textId="2150DB7D" w:rsidR="00AE22A2" w:rsidRPr="004800EC" w:rsidRDefault="00AE22A2" w:rsidP="00AE22A2">
      <w:pPr>
        <w:pStyle w:val="BodyText"/>
        <w:spacing w:before="11"/>
        <w:rPr>
          <w:b/>
          <w:sz w:val="22"/>
          <w:szCs w:val="22"/>
        </w:rPr>
      </w:pPr>
      <w:r w:rsidRPr="004800EC">
        <w:rPr>
          <w:b/>
          <w:sz w:val="22"/>
          <w:szCs w:val="22"/>
        </w:rPr>
        <w:lastRenderedPageBreak/>
        <w:t xml:space="preserve"> The Certification Body, </w:t>
      </w:r>
      <w:r w:rsidR="00C850FC">
        <w:rPr>
          <w:b/>
          <w:sz w:val="22"/>
          <w:szCs w:val="22"/>
        </w:rPr>
        <w:t>LRQA</w:t>
      </w:r>
      <w:r w:rsidR="006F1918">
        <w:rPr>
          <w:b/>
          <w:sz w:val="22"/>
          <w:szCs w:val="22"/>
        </w:rPr>
        <w:t xml:space="preserve">, </w:t>
      </w:r>
      <w:r w:rsidRPr="004800EC">
        <w:rPr>
          <w:b/>
          <w:sz w:val="22"/>
          <w:szCs w:val="22"/>
        </w:rPr>
        <w:t>is accredited to ISO17065 by UKAS.  SQC is an open and transparent organization and welcomes visits from interested bodies or persons.</w:t>
      </w:r>
      <w:r w:rsidR="00956C81">
        <w:rPr>
          <w:b/>
          <w:sz w:val="22"/>
          <w:szCs w:val="22"/>
        </w:rPr>
        <w:t xml:space="preserve"> The SQC Certification Body protocol specifies that both SQC and the CB will allow relevant authorities in Member States and the EU Commission to supervise the operation of certification and </w:t>
      </w:r>
      <w:r w:rsidR="008D4736">
        <w:rPr>
          <w:b/>
          <w:sz w:val="22"/>
          <w:szCs w:val="22"/>
        </w:rPr>
        <w:t xml:space="preserve">to </w:t>
      </w:r>
      <w:r w:rsidR="00956C81">
        <w:rPr>
          <w:b/>
          <w:sz w:val="22"/>
          <w:szCs w:val="22"/>
        </w:rPr>
        <w:t xml:space="preserve">ensure relevant data is made available.  </w:t>
      </w:r>
    </w:p>
    <w:p w14:paraId="5C7D926B" w14:textId="77777777" w:rsidR="00AE22A2" w:rsidRPr="006F603C" w:rsidRDefault="00AE22A2" w:rsidP="00AE22A2">
      <w:pPr>
        <w:pStyle w:val="BodyText"/>
        <w:spacing w:before="11"/>
        <w:rPr>
          <w:sz w:val="22"/>
          <w:szCs w:val="22"/>
        </w:rPr>
      </w:pPr>
    </w:p>
    <w:p w14:paraId="5866F759" w14:textId="08DDEB55" w:rsidR="00AE22A2" w:rsidRPr="006F603C" w:rsidRDefault="00AE22A2" w:rsidP="00AE22A2">
      <w:pPr>
        <w:pStyle w:val="ListParagraph"/>
        <w:numPr>
          <w:ilvl w:val="0"/>
          <w:numId w:val="1"/>
        </w:numPr>
        <w:tabs>
          <w:tab w:val="left" w:pos="401"/>
        </w:tabs>
        <w:ind w:left="400" w:hanging="289"/>
        <w:jc w:val="both"/>
        <w:rPr>
          <w:color w:val="282A2A"/>
        </w:rPr>
      </w:pPr>
      <w:r w:rsidRPr="00EA539A">
        <w:rPr>
          <w:color w:val="282A2A"/>
          <w:w w:val="105"/>
        </w:rPr>
        <w:t>criteria</w:t>
      </w:r>
      <w:r w:rsidRPr="00EA539A">
        <w:rPr>
          <w:color w:val="282A2A"/>
          <w:spacing w:val="-11"/>
          <w:w w:val="105"/>
        </w:rPr>
        <w:t xml:space="preserve"> </w:t>
      </w:r>
      <w:r w:rsidRPr="00EA539A">
        <w:rPr>
          <w:color w:val="282A2A"/>
          <w:w w:val="105"/>
        </w:rPr>
        <w:t>for</w:t>
      </w:r>
      <w:r w:rsidRPr="00EA539A">
        <w:rPr>
          <w:color w:val="282A2A"/>
          <w:spacing w:val="-4"/>
          <w:w w:val="105"/>
        </w:rPr>
        <w:t xml:space="preserve"> </w:t>
      </w:r>
      <w:r w:rsidRPr="00EA539A">
        <w:rPr>
          <w:color w:val="282A2A"/>
          <w:w w:val="105"/>
        </w:rPr>
        <w:t>the</w:t>
      </w:r>
      <w:r w:rsidRPr="00EA539A">
        <w:rPr>
          <w:color w:val="282A2A"/>
          <w:spacing w:val="-8"/>
          <w:w w:val="105"/>
        </w:rPr>
        <w:t xml:space="preserve"> </w:t>
      </w:r>
      <w:r w:rsidRPr="00EA539A">
        <w:rPr>
          <w:color w:val="282A2A"/>
          <w:w w:val="105"/>
        </w:rPr>
        <w:t>recognition</w:t>
      </w:r>
      <w:r w:rsidRPr="00EA539A">
        <w:rPr>
          <w:color w:val="282A2A"/>
          <w:spacing w:val="-3"/>
          <w:w w:val="105"/>
        </w:rPr>
        <w:t xml:space="preserve"> </w:t>
      </w:r>
      <w:r w:rsidRPr="00EA539A">
        <w:rPr>
          <w:color w:val="282A2A"/>
          <w:w w:val="105"/>
        </w:rPr>
        <w:t>or</w:t>
      </w:r>
      <w:r w:rsidRPr="00EA539A">
        <w:rPr>
          <w:color w:val="282A2A"/>
          <w:spacing w:val="-11"/>
          <w:w w:val="105"/>
        </w:rPr>
        <w:t xml:space="preserve"> </w:t>
      </w:r>
      <w:r w:rsidRPr="00EA539A">
        <w:rPr>
          <w:color w:val="282A2A"/>
          <w:w w:val="105"/>
        </w:rPr>
        <w:t>accreditation</w:t>
      </w:r>
      <w:r w:rsidRPr="00EA539A">
        <w:rPr>
          <w:color w:val="282A2A"/>
          <w:spacing w:val="-3"/>
          <w:w w:val="105"/>
        </w:rPr>
        <w:t xml:space="preserve"> </w:t>
      </w:r>
      <w:r w:rsidRPr="00EA539A">
        <w:rPr>
          <w:color w:val="282A2A"/>
          <w:w w:val="105"/>
        </w:rPr>
        <w:t>of</w:t>
      </w:r>
      <w:r w:rsidRPr="00EA539A">
        <w:rPr>
          <w:color w:val="282A2A"/>
          <w:spacing w:val="-16"/>
          <w:w w:val="105"/>
        </w:rPr>
        <w:t xml:space="preserve"> </w:t>
      </w:r>
      <w:r w:rsidRPr="00EA539A">
        <w:rPr>
          <w:color w:val="282A2A"/>
          <w:w w:val="105"/>
        </w:rPr>
        <w:t>certification</w:t>
      </w:r>
      <w:r w:rsidRPr="00EA539A">
        <w:rPr>
          <w:color w:val="282A2A"/>
          <w:spacing w:val="5"/>
          <w:w w:val="105"/>
        </w:rPr>
        <w:t xml:space="preserve"> </w:t>
      </w:r>
      <w:r w:rsidRPr="00EA539A">
        <w:rPr>
          <w:color w:val="282A2A"/>
          <w:w w:val="105"/>
        </w:rPr>
        <w:t>bodies</w:t>
      </w:r>
      <w:r w:rsidR="00DA79C6">
        <w:rPr>
          <w:color w:val="282A2A"/>
          <w:w w:val="105"/>
        </w:rPr>
        <w:t>:</w:t>
      </w:r>
    </w:p>
    <w:p w14:paraId="012C016E" w14:textId="77777777" w:rsidR="00AE22A2" w:rsidRPr="00EA539A" w:rsidRDefault="00AE22A2" w:rsidP="00AE22A2">
      <w:pPr>
        <w:pStyle w:val="ListParagraph"/>
        <w:tabs>
          <w:tab w:val="left" w:pos="401"/>
        </w:tabs>
        <w:ind w:left="400" w:firstLine="0"/>
        <w:jc w:val="left"/>
        <w:rPr>
          <w:color w:val="282A2A"/>
        </w:rPr>
      </w:pPr>
    </w:p>
    <w:p w14:paraId="103F8240" w14:textId="2B476333" w:rsidR="00AE22A2" w:rsidRPr="004800EC" w:rsidRDefault="00AE22A2" w:rsidP="00AE22A2">
      <w:pPr>
        <w:pStyle w:val="BodyText"/>
        <w:spacing w:before="6"/>
        <w:rPr>
          <w:b/>
          <w:sz w:val="22"/>
          <w:szCs w:val="22"/>
        </w:rPr>
      </w:pPr>
      <w:r w:rsidRPr="006F603C">
        <w:rPr>
          <w:sz w:val="22"/>
          <w:szCs w:val="22"/>
        </w:rPr>
        <w:t xml:space="preserve"> </w:t>
      </w:r>
      <w:r w:rsidRPr="004800EC">
        <w:rPr>
          <w:b/>
          <w:sz w:val="22"/>
          <w:szCs w:val="22"/>
        </w:rPr>
        <w:t>As in point (h)</w:t>
      </w:r>
      <w:r w:rsidR="00F14C14">
        <w:rPr>
          <w:b/>
          <w:sz w:val="22"/>
          <w:szCs w:val="22"/>
        </w:rPr>
        <w:t xml:space="preserve"> </w:t>
      </w:r>
      <w:r w:rsidR="003E735D">
        <w:rPr>
          <w:b/>
          <w:sz w:val="22"/>
          <w:szCs w:val="22"/>
        </w:rPr>
        <w:t xml:space="preserve">above </w:t>
      </w:r>
      <w:r w:rsidR="00F14C14">
        <w:rPr>
          <w:b/>
          <w:sz w:val="22"/>
          <w:szCs w:val="22"/>
        </w:rPr>
        <w:t xml:space="preserve">and detailed in the </w:t>
      </w:r>
      <w:r w:rsidR="000549BE">
        <w:rPr>
          <w:b/>
          <w:sz w:val="22"/>
          <w:szCs w:val="22"/>
        </w:rPr>
        <w:t xml:space="preserve">SQC Certification </w:t>
      </w:r>
      <w:r w:rsidR="009A4EF1">
        <w:rPr>
          <w:b/>
          <w:sz w:val="22"/>
          <w:szCs w:val="22"/>
        </w:rPr>
        <w:t>Body Protocol</w:t>
      </w:r>
    </w:p>
    <w:p w14:paraId="6F7487F2" w14:textId="77777777" w:rsidR="00AE22A2" w:rsidRPr="006F603C" w:rsidRDefault="00AE22A2" w:rsidP="00AE22A2">
      <w:pPr>
        <w:pStyle w:val="BodyText"/>
        <w:spacing w:before="6"/>
        <w:rPr>
          <w:sz w:val="22"/>
          <w:szCs w:val="22"/>
        </w:rPr>
      </w:pPr>
    </w:p>
    <w:p w14:paraId="64904B2E" w14:textId="5D0AB857" w:rsidR="00AE22A2" w:rsidRPr="006F603C" w:rsidRDefault="00AE22A2" w:rsidP="00AE22A2">
      <w:pPr>
        <w:pStyle w:val="ListParagraph"/>
        <w:numPr>
          <w:ilvl w:val="0"/>
          <w:numId w:val="1"/>
        </w:numPr>
        <w:tabs>
          <w:tab w:val="left" w:pos="403"/>
        </w:tabs>
        <w:ind w:left="402" w:hanging="295"/>
        <w:jc w:val="both"/>
        <w:rPr>
          <w:rFonts w:ascii="Arial"/>
          <w:color w:val="282A2A"/>
        </w:rPr>
      </w:pPr>
      <w:r w:rsidRPr="00EA539A">
        <w:rPr>
          <w:color w:val="282A2A"/>
          <w:w w:val="105"/>
        </w:rPr>
        <w:t>rules</w:t>
      </w:r>
      <w:r w:rsidRPr="00EA539A">
        <w:rPr>
          <w:color w:val="282A2A"/>
          <w:spacing w:val="-5"/>
          <w:w w:val="105"/>
        </w:rPr>
        <w:t xml:space="preserve"> </w:t>
      </w:r>
      <w:r w:rsidRPr="00EA539A">
        <w:rPr>
          <w:color w:val="282A2A"/>
          <w:w w:val="105"/>
        </w:rPr>
        <w:t>on</w:t>
      </w:r>
      <w:r w:rsidRPr="00EA539A">
        <w:rPr>
          <w:color w:val="282A2A"/>
          <w:spacing w:val="-8"/>
          <w:w w:val="105"/>
        </w:rPr>
        <w:t xml:space="preserve"> </w:t>
      </w:r>
      <w:r w:rsidRPr="00EA539A">
        <w:rPr>
          <w:color w:val="282A2A"/>
          <w:w w:val="105"/>
        </w:rPr>
        <w:t>how</w:t>
      </w:r>
      <w:r w:rsidRPr="00EA539A">
        <w:rPr>
          <w:color w:val="282A2A"/>
          <w:spacing w:val="-7"/>
          <w:w w:val="105"/>
        </w:rPr>
        <w:t xml:space="preserve"> </w:t>
      </w:r>
      <w:r w:rsidRPr="00EA539A">
        <w:rPr>
          <w:color w:val="282A2A"/>
          <w:w w:val="105"/>
        </w:rPr>
        <w:t>the</w:t>
      </w:r>
      <w:r w:rsidRPr="00EA539A">
        <w:rPr>
          <w:color w:val="282A2A"/>
          <w:spacing w:val="-8"/>
          <w:w w:val="105"/>
        </w:rPr>
        <w:t xml:space="preserve"> </w:t>
      </w:r>
      <w:r w:rsidRPr="00EA539A">
        <w:rPr>
          <w:color w:val="282A2A"/>
          <w:w w:val="105"/>
        </w:rPr>
        <w:t>monitoring</w:t>
      </w:r>
      <w:r w:rsidRPr="00EA539A">
        <w:rPr>
          <w:color w:val="282A2A"/>
          <w:spacing w:val="-2"/>
          <w:w w:val="105"/>
        </w:rPr>
        <w:t xml:space="preserve"> </w:t>
      </w:r>
      <w:r w:rsidRPr="00EA539A">
        <w:rPr>
          <w:color w:val="282A2A"/>
          <w:w w:val="105"/>
        </w:rPr>
        <w:t>of</w:t>
      </w:r>
      <w:r w:rsidRPr="00EA539A">
        <w:rPr>
          <w:color w:val="282A2A"/>
          <w:spacing w:val="-8"/>
          <w:w w:val="105"/>
        </w:rPr>
        <w:t xml:space="preserve"> </w:t>
      </w:r>
      <w:r w:rsidRPr="00EA539A">
        <w:rPr>
          <w:color w:val="282A2A"/>
          <w:w w:val="105"/>
        </w:rPr>
        <w:t>the</w:t>
      </w:r>
      <w:r w:rsidRPr="00EA539A">
        <w:rPr>
          <w:color w:val="282A2A"/>
          <w:spacing w:val="-6"/>
          <w:w w:val="105"/>
        </w:rPr>
        <w:t xml:space="preserve"> </w:t>
      </w:r>
      <w:r w:rsidRPr="00EA539A">
        <w:rPr>
          <w:color w:val="282A2A"/>
          <w:w w:val="105"/>
        </w:rPr>
        <w:t>certification</w:t>
      </w:r>
      <w:r w:rsidRPr="00EA539A">
        <w:rPr>
          <w:color w:val="282A2A"/>
          <w:spacing w:val="3"/>
          <w:w w:val="105"/>
        </w:rPr>
        <w:t xml:space="preserve"> </w:t>
      </w:r>
      <w:r w:rsidRPr="00EA539A">
        <w:rPr>
          <w:color w:val="282A2A"/>
          <w:w w:val="105"/>
        </w:rPr>
        <w:t>bodies</w:t>
      </w:r>
      <w:r w:rsidRPr="00EA539A">
        <w:rPr>
          <w:color w:val="282A2A"/>
          <w:spacing w:val="-9"/>
          <w:w w:val="105"/>
        </w:rPr>
        <w:t xml:space="preserve"> </w:t>
      </w:r>
      <w:r w:rsidRPr="00EA539A">
        <w:rPr>
          <w:color w:val="282A2A"/>
          <w:w w:val="105"/>
        </w:rPr>
        <w:t>is</w:t>
      </w:r>
      <w:r w:rsidRPr="00EA539A">
        <w:rPr>
          <w:color w:val="282A2A"/>
          <w:spacing w:val="-9"/>
          <w:w w:val="105"/>
        </w:rPr>
        <w:t xml:space="preserve"> </w:t>
      </w:r>
      <w:r w:rsidRPr="00EA539A">
        <w:rPr>
          <w:color w:val="282A2A"/>
          <w:w w:val="105"/>
        </w:rPr>
        <w:t>to</w:t>
      </w:r>
      <w:r w:rsidRPr="00EA539A">
        <w:rPr>
          <w:color w:val="282A2A"/>
          <w:spacing w:val="-6"/>
          <w:w w:val="105"/>
        </w:rPr>
        <w:t xml:space="preserve"> </w:t>
      </w:r>
      <w:r w:rsidRPr="00EA539A">
        <w:rPr>
          <w:color w:val="282A2A"/>
          <w:w w:val="105"/>
        </w:rPr>
        <w:t>be</w:t>
      </w:r>
      <w:r w:rsidRPr="00EA539A">
        <w:rPr>
          <w:color w:val="282A2A"/>
          <w:spacing w:val="-11"/>
          <w:w w:val="105"/>
        </w:rPr>
        <w:t xml:space="preserve"> </w:t>
      </w:r>
      <w:r w:rsidRPr="00EA539A">
        <w:rPr>
          <w:color w:val="282A2A"/>
          <w:w w:val="105"/>
        </w:rPr>
        <w:t>conducted</w:t>
      </w:r>
      <w:r w:rsidR="00DA79C6">
        <w:rPr>
          <w:color w:val="282A2A"/>
          <w:w w:val="105"/>
        </w:rPr>
        <w:t>:</w:t>
      </w:r>
    </w:p>
    <w:p w14:paraId="0EA11A7A" w14:textId="77777777" w:rsidR="00AE22A2" w:rsidRPr="00EA539A" w:rsidRDefault="00AE22A2" w:rsidP="00AE22A2">
      <w:pPr>
        <w:pStyle w:val="ListParagraph"/>
        <w:tabs>
          <w:tab w:val="left" w:pos="403"/>
        </w:tabs>
        <w:ind w:left="402" w:firstLine="0"/>
        <w:jc w:val="left"/>
        <w:rPr>
          <w:rFonts w:ascii="Arial"/>
          <w:color w:val="282A2A"/>
        </w:rPr>
      </w:pPr>
    </w:p>
    <w:p w14:paraId="558169F9" w14:textId="01EE169C" w:rsidR="00AE22A2" w:rsidRPr="004800EC" w:rsidRDefault="00AE22A2" w:rsidP="00AE22A2">
      <w:pPr>
        <w:pStyle w:val="BodyText"/>
        <w:spacing w:before="6"/>
        <w:rPr>
          <w:b/>
          <w:sz w:val="22"/>
          <w:szCs w:val="22"/>
        </w:rPr>
      </w:pPr>
      <w:r w:rsidRPr="006F603C">
        <w:rPr>
          <w:sz w:val="22"/>
          <w:szCs w:val="22"/>
        </w:rPr>
        <w:t xml:space="preserve"> </w:t>
      </w:r>
      <w:r w:rsidRPr="004800EC">
        <w:rPr>
          <w:b/>
          <w:sz w:val="22"/>
          <w:szCs w:val="22"/>
        </w:rPr>
        <w:t>SQC requires that there is an annual audit of the certification body by UKAS</w:t>
      </w:r>
      <w:r w:rsidR="00956C81">
        <w:rPr>
          <w:b/>
          <w:sz w:val="22"/>
          <w:szCs w:val="22"/>
        </w:rPr>
        <w:t xml:space="preserve"> and other monitoring requirements are specified in the SQC </w:t>
      </w:r>
      <w:r w:rsidR="0093694A">
        <w:rPr>
          <w:b/>
          <w:sz w:val="22"/>
          <w:szCs w:val="22"/>
        </w:rPr>
        <w:t>C</w:t>
      </w:r>
      <w:r w:rsidR="00956C81">
        <w:rPr>
          <w:b/>
          <w:sz w:val="22"/>
          <w:szCs w:val="22"/>
        </w:rPr>
        <w:t xml:space="preserve">ertification </w:t>
      </w:r>
      <w:r w:rsidR="0093694A">
        <w:rPr>
          <w:b/>
          <w:sz w:val="22"/>
          <w:szCs w:val="22"/>
        </w:rPr>
        <w:t>B</w:t>
      </w:r>
      <w:r w:rsidR="00956C81">
        <w:rPr>
          <w:b/>
          <w:sz w:val="22"/>
          <w:szCs w:val="22"/>
        </w:rPr>
        <w:t xml:space="preserve">ody </w:t>
      </w:r>
      <w:r w:rsidR="0093694A">
        <w:rPr>
          <w:b/>
          <w:sz w:val="22"/>
          <w:szCs w:val="22"/>
        </w:rPr>
        <w:t>P</w:t>
      </w:r>
      <w:r w:rsidR="00956C81">
        <w:rPr>
          <w:b/>
          <w:sz w:val="22"/>
          <w:szCs w:val="22"/>
        </w:rPr>
        <w:t>rotocol</w:t>
      </w:r>
    </w:p>
    <w:p w14:paraId="60CB6360" w14:textId="77777777" w:rsidR="00AE22A2" w:rsidRPr="006F603C" w:rsidRDefault="00AE22A2" w:rsidP="00AE22A2">
      <w:pPr>
        <w:pStyle w:val="BodyText"/>
        <w:spacing w:before="6"/>
        <w:rPr>
          <w:sz w:val="22"/>
          <w:szCs w:val="22"/>
        </w:rPr>
      </w:pPr>
    </w:p>
    <w:p w14:paraId="75B0459E" w14:textId="0BA7A883" w:rsidR="00AE22A2" w:rsidRPr="006F603C" w:rsidRDefault="00AE22A2" w:rsidP="00AE22A2">
      <w:pPr>
        <w:pStyle w:val="ListParagraph"/>
        <w:numPr>
          <w:ilvl w:val="0"/>
          <w:numId w:val="1"/>
        </w:numPr>
        <w:tabs>
          <w:tab w:val="left" w:pos="453"/>
        </w:tabs>
        <w:ind w:left="452" w:hanging="341"/>
        <w:jc w:val="both"/>
        <w:rPr>
          <w:color w:val="282A2A"/>
        </w:rPr>
      </w:pPr>
      <w:r w:rsidRPr="00EA539A">
        <w:rPr>
          <w:color w:val="282A2A"/>
          <w:w w:val="105"/>
        </w:rPr>
        <w:t>possibilities</w:t>
      </w:r>
      <w:r w:rsidRPr="00EA539A">
        <w:rPr>
          <w:color w:val="282A2A"/>
          <w:spacing w:val="-2"/>
          <w:w w:val="105"/>
        </w:rPr>
        <w:t xml:space="preserve"> </w:t>
      </w:r>
      <w:r w:rsidRPr="00EA539A">
        <w:rPr>
          <w:color w:val="282A2A"/>
          <w:w w:val="105"/>
        </w:rPr>
        <w:t>to</w:t>
      </w:r>
      <w:r w:rsidRPr="00EA539A">
        <w:rPr>
          <w:color w:val="282A2A"/>
          <w:spacing w:val="-15"/>
          <w:w w:val="105"/>
        </w:rPr>
        <w:t xml:space="preserve"> </w:t>
      </w:r>
      <w:r w:rsidRPr="00EA539A">
        <w:rPr>
          <w:color w:val="282A2A"/>
          <w:w w:val="105"/>
        </w:rPr>
        <w:t>facilitate</w:t>
      </w:r>
      <w:r w:rsidRPr="00EA539A">
        <w:rPr>
          <w:color w:val="282A2A"/>
          <w:spacing w:val="-8"/>
          <w:w w:val="105"/>
        </w:rPr>
        <w:t xml:space="preserve"> </w:t>
      </w:r>
      <w:r w:rsidRPr="00EA539A">
        <w:rPr>
          <w:color w:val="282A2A"/>
          <w:w w:val="105"/>
        </w:rPr>
        <w:t>or</w:t>
      </w:r>
      <w:r w:rsidRPr="00EA539A">
        <w:rPr>
          <w:color w:val="282A2A"/>
          <w:spacing w:val="-14"/>
          <w:w w:val="105"/>
        </w:rPr>
        <w:t xml:space="preserve"> </w:t>
      </w:r>
      <w:r w:rsidRPr="00EA539A">
        <w:rPr>
          <w:color w:val="282A2A"/>
          <w:w w:val="105"/>
        </w:rPr>
        <w:t>improve</w:t>
      </w:r>
      <w:r w:rsidRPr="00EA539A">
        <w:rPr>
          <w:color w:val="282A2A"/>
          <w:spacing w:val="1"/>
          <w:w w:val="105"/>
        </w:rPr>
        <w:t xml:space="preserve"> </w:t>
      </w:r>
      <w:r w:rsidRPr="00EA539A">
        <w:rPr>
          <w:color w:val="282A2A"/>
          <w:w w:val="105"/>
        </w:rPr>
        <w:t>promotion</w:t>
      </w:r>
      <w:r w:rsidRPr="00EA539A">
        <w:rPr>
          <w:color w:val="282A2A"/>
          <w:spacing w:val="-1"/>
          <w:w w:val="105"/>
        </w:rPr>
        <w:t xml:space="preserve"> </w:t>
      </w:r>
      <w:r w:rsidRPr="00EA539A">
        <w:rPr>
          <w:color w:val="282A2A"/>
          <w:w w:val="105"/>
        </w:rPr>
        <w:t>of</w:t>
      </w:r>
      <w:r w:rsidRPr="00EA539A">
        <w:rPr>
          <w:color w:val="282A2A"/>
          <w:spacing w:val="-11"/>
          <w:w w:val="105"/>
        </w:rPr>
        <w:t xml:space="preserve"> </w:t>
      </w:r>
      <w:r w:rsidRPr="00EA539A">
        <w:rPr>
          <w:color w:val="282A2A"/>
          <w:w w:val="105"/>
        </w:rPr>
        <w:t>best</w:t>
      </w:r>
      <w:r w:rsidRPr="00EA539A">
        <w:rPr>
          <w:color w:val="282A2A"/>
          <w:spacing w:val="-13"/>
          <w:w w:val="105"/>
        </w:rPr>
        <w:t xml:space="preserve"> </w:t>
      </w:r>
      <w:r w:rsidRPr="00EA539A">
        <w:rPr>
          <w:color w:val="282A2A"/>
          <w:w w:val="105"/>
        </w:rPr>
        <w:t>practice</w:t>
      </w:r>
      <w:r w:rsidR="00DA79C6">
        <w:rPr>
          <w:color w:val="282A2A"/>
          <w:w w:val="105"/>
        </w:rPr>
        <w:t>:</w:t>
      </w:r>
    </w:p>
    <w:p w14:paraId="066BC63F" w14:textId="77777777" w:rsidR="00AE22A2" w:rsidRPr="006F603C" w:rsidRDefault="00AE22A2" w:rsidP="00AE22A2">
      <w:pPr>
        <w:tabs>
          <w:tab w:val="left" w:pos="453"/>
        </w:tabs>
        <w:ind w:left="111"/>
        <w:rPr>
          <w:color w:val="282A2A"/>
        </w:rPr>
      </w:pPr>
    </w:p>
    <w:p w14:paraId="6FA11E80" w14:textId="085BF00F" w:rsidR="00062C9A" w:rsidRDefault="00AE22A2" w:rsidP="00AE22A2">
      <w:pPr>
        <w:rPr>
          <w:b/>
        </w:rPr>
      </w:pPr>
      <w:r w:rsidRPr="004800EC">
        <w:rPr>
          <w:b/>
        </w:rPr>
        <w:t xml:space="preserve">The Board of SQC strive to promote best practice and good governance and this policy is continually reviewed.  </w:t>
      </w:r>
      <w:r w:rsidR="00956C81">
        <w:rPr>
          <w:b/>
        </w:rPr>
        <w:t xml:space="preserve">There is ongoing liaison with research institutions, industry, farming </w:t>
      </w:r>
      <w:proofErr w:type="spellStart"/>
      <w:r w:rsidR="00956C81">
        <w:rPr>
          <w:b/>
        </w:rPr>
        <w:t>organisations</w:t>
      </w:r>
      <w:proofErr w:type="spellEnd"/>
      <w:r w:rsidR="00956C81">
        <w:rPr>
          <w:b/>
        </w:rPr>
        <w:t xml:space="preserve"> and government departments which delivers co-operation and</w:t>
      </w:r>
      <w:r w:rsidR="00A7383C">
        <w:rPr>
          <w:b/>
        </w:rPr>
        <w:t xml:space="preserve"> </w:t>
      </w:r>
      <w:r w:rsidR="00956C81">
        <w:rPr>
          <w:b/>
        </w:rPr>
        <w:t xml:space="preserve">ensures that the SQC standards reflect current best practice whilst remaining practicable and relevant. </w:t>
      </w:r>
    </w:p>
    <w:p w14:paraId="7058496E" w14:textId="77777777" w:rsidR="005958A9" w:rsidRDefault="005958A9" w:rsidP="00AE22A2">
      <w:pPr>
        <w:rPr>
          <w:b/>
        </w:rPr>
      </w:pPr>
    </w:p>
    <w:p w14:paraId="7324D884" w14:textId="5176B7CF" w:rsidR="00D90438" w:rsidRDefault="00A7383C" w:rsidP="00AE22A2">
      <w:pPr>
        <w:rPr>
          <w:b/>
        </w:rPr>
      </w:pPr>
      <w:r w:rsidRPr="00A7383C">
        <w:rPr>
          <w:b/>
          <w:noProof/>
        </w:rPr>
        <w:drawing>
          <wp:inline distT="0" distB="0" distL="0" distR="0" wp14:anchorId="527657F0" wp14:editId="0E5E9966">
            <wp:extent cx="2506732" cy="925652"/>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8873" cy="941213"/>
                    </a:xfrm>
                    <a:prstGeom prst="rect">
                      <a:avLst/>
                    </a:prstGeom>
                  </pic:spPr>
                </pic:pic>
              </a:graphicData>
            </a:graphic>
          </wp:inline>
        </w:drawing>
      </w:r>
    </w:p>
    <w:p w14:paraId="16C373B3" w14:textId="77777777" w:rsidR="00D90438" w:rsidRDefault="00D90438" w:rsidP="00AE22A2">
      <w:pPr>
        <w:rPr>
          <w:b/>
        </w:rPr>
      </w:pPr>
    </w:p>
    <w:p w14:paraId="4E1846E8" w14:textId="77777777" w:rsidR="00D90438" w:rsidRDefault="00D90438" w:rsidP="00AE22A2">
      <w:pPr>
        <w:rPr>
          <w:b/>
        </w:rPr>
      </w:pPr>
    </w:p>
    <w:p w14:paraId="0432AB91" w14:textId="77777777" w:rsidR="00D90438" w:rsidRDefault="00D90438" w:rsidP="00AE22A2">
      <w:pPr>
        <w:rPr>
          <w:b/>
        </w:rPr>
      </w:pPr>
    </w:p>
    <w:p w14:paraId="03E54B42" w14:textId="14651065" w:rsidR="005958A9" w:rsidRDefault="005958A9" w:rsidP="00AE22A2">
      <w:pPr>
        <w:rPr>
          <w:b/>
        </w:rPr>
      </w:pPr>
      <w:r>
        <w:rPr>
          <w:b/>
        </w:rPr>
        <w:t>Alistair Ewan</w:t>
      </w:r>
    </w:p>
    <w:p w14:paraId="1901735E" w14:textId="0605F6FA" w:rsidR="005958A9" w:rsidRPr="004800EC" w:rsidRDefault="005958A9" w:rsidP="00AE22A2">
      <w:pPr>
        <w:rPr>
          <w:b/>
        </w:rPr>
      </w:pPr>
      <w:r>
        <w:rPr>
          <w:b/>
        </w:rPr>
        <w:t xml:space="preserve">Executive Director &amp; Company Secretary </w:t>
      </w:r>
    </w:p>
    <w:sectPr w:rsidR="005958A9" w:rsidRPr="004800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9104" w14:textId="77777777" w:rsidR="008434B1" w:rsidRDefault="008434B1" w:rsidP="001F4A25">
      <w:r>
        <w:separator/>
      </w:r>
    </w:p>
  </w:endnote>
  <w:endnote w:type="continuationSeparator" w:id="0">
    <w:p w14:paraId="20BBDEA0" w14:textId="77777777" w:rsidR="008434B1" w:rsidRDefault="008434B1" w:rsidP="001F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D653" w14:textId="77777777" w:rsidR="008434B1" w:rsidRDefault="008434B1" w:rsidP="001F4A25">
      <w:r>
        <w:separator/>
      </w:r>
    </w:p>
  </w:footnote>
  <w:footnote w:type="continuationSeparator" w:id="0">
    <w:p w14:paraId="31736BCD" w14:textId="77777777" w:rsidR="008434B1" w:rsidRDefault="008434B1" w:rsidP="001F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DD"/>
    <w:multiLevelType w:val="hybridMultilevel"/>
    <w:tmpl w:val="FA927C8E"/>
    <w:lvl w:ilvl="0" w:tplc="D2800852">
      <w:start w:val="1"/>
      <w:numFmt w:val="lowerLetter"/>
      <w:lvlText w:val="(%1)"/>
      <w:lvlJc w:val="left"/>
      <w:pPr>
        <w:ind w:left="123" w:hanging="348"/>
        <w:jc w:val="left"/>
      </w:pPr>
      <w:rPr>
        <w:rFonts w:hint="default"/>
        <w:w w:val="104"/>
      </w:rPr>
    </w:lvl>
    <w:lvl w:ilvl="1" w:tplc="A6A8FD82">
      <w:numFmt w:val="bullet"/>
      <w:lvlText w:val="•"/>
      <w:lvlJc w:val="left"/>
      <w:pPr>
        <w:ind w:left="1039" w:hanging="348"/>
      </w:pPr>
      <w:rPr>
        <w:rFonts w:hint="default"/>
      </w:rPr>
    </w:lvl>
    <w:lvl w:ilvl="2" w:tplc="0D469866">
      <w:numFmt w:val="bullet"/>
      <w:lvlText w:val="•"/>
      <w:lvlJc w:val="left"/>
      <w:pPr>
        <w:ind w:left="1959" w:hanging="348"/>
      </w:pPr>
      <w:rPr>
        <w:rFonts w:hint="default"/>
      </w:rPr>
    </w:lvl>
    <w:lvl w:ilvl="3" w:tplc="08424158">
      <w:numFmt w:val="bullet"/>
      <w:lvlText w:val="•"/>
      <w:lvlJc w:val="left"/>
      <w:pPr>
        <w:ind w:left="2879" w:hanging="348"/>
      </w:pPr>
      <w:rPr>
        <w:rFonts w:hint="default"/>
      </w:rPr>
    </w:lvl>
    <w:lvl w:ilvl="4" w:tplc="3D2ACC90">
      <w:numFmt w:val="bullet"/>
      <w:lvlText w:val="•"/>
      <w:lvlJc w:val="left"/>
      <w:pPr>
        <w:ind w:left="3799" w:hanging="348"/>
      </w:pPr>
      <w:rPr>
        <w:rFonts w:hint="default"/>
      </w:rPr>
    </w:lvl>
    <w:lvl w:ilvl="5" w:tplc="43CA273E">
      <w:numFmt w:val="bullet"/>
      <w:lvlText w:val="•"/>
      <w:lvlJc w:val="left"/>
      <w:pPr>
        <w:ind w:left="4719" w:hanging="348"/>
      </w:pPr>
      <w:rPr>
        <w:rFonts w:hint="default"/>
      </w:rPr>
    </w:lvl>
    <w:lvl w:ilvl="6" w:tplc="BDA8897C">
      <w:numFmt w:val="bullet"/>
      <w:lvlText w:val="•"/>
      <w:lvlJc w:val="left"/>
      <w:pPr>
        <w:ind w:left="5639" w:hanging="348"/>
      </w:pPr>
      <w:rPr>
        <w:rFonts w:hint="default"/>
      </w:rPr>
    </w:lvl>
    <w:lvl w:ilvl="7" w:tplc="BBEE452C">
      <w:numFmt w:val="bullet"/>
      <w:lvlText w:val="•"/>
      <w:lvlJc w:val="left"/>
      <w:pPr>
        <w:ind w:left="6558" w:hanging="348"/>
      </w:pPr>
      <w:rPr>
        <w:rFonts w:hint="default"/>
      </w:rPr>
    </w:lvl>
    <w:lvl w:ilvl="8" w:tplc="0E38E3C4">
      <w:numFmt w:val="bullet"/>
      <w:lvlText w:val="•"/>
      <w:lvlJc w:val="left"/>
      <w:pPr>
        <w:ind w:left="7478" w:hanging="348"/>
      </w:pPr>
      <w:rPr>
        <w:rFonts w:hint="default"/>
      </w:rPr>
    </w:lvl>
  </w:abstractNum>
  <w:abstractNum w:abstractNumId="1" w15:restartNumberingAfterBreak="0">
    <w:nsid w:val="4C784E35"/>
    <w:multiLevelType w:val="hybridMultilevel"/>
    <w:tmpl w:val="28603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9472068">
    <w:abstractNumId w:val="0"/>
  </w:num>
  <w:num w:numId="2" w16cid:durableId="29341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A2"/>
    <w:rsid w:val="0004127F"/>
    <w:rsid w:val="00047EEB"/>
    <w:rsid w:val="000549BE"/>
    <w:rsid w:val="00062C9A"/>
    <w:rsid w:val="0007441F"/>
    <w:rsid w:val="0009240F"/>
    <w:rsid w:val="000B4EC6"/>
    <w:rsid w:val="000D2F88"/>
    <w:rsid w:val="001064F1"/>
    <w:rsid w:val="00145587"/>
    <w:rsid w:val="001668AC"/>
    <w:rsid w:val="001C4021"/>
    <w:rsid w:val="001D6294"/>
    <w:rsid w:val="001F0F05"/>
    <w:rsid w:val="001F4A25"/>
    <w:rsid w:val="00285075"/>
    <w:rsid w:val="002901B7"/>
    <w:rsid w:val="002B24CA"/>
    <w:rsid w:val="002D3914"/>
    <w:rsid w:val="002E7B15"/>
    <w:rsid w:val="003156EF"/>
    <w:rsid w:val="003C385D"/>
    <w:rsid w:val="003C3AC1"/>
    <w:rsid w:val="003C5338"/>
    <w:rsid w:val="003E735D"/>
    <w:rsid w:val="0040576F"/>
    <w:rsid w:val="004119ED"/>
    <w:rsid w:val="0046733E"/>
    <w:rsid w:val="004800EC"/>
    <w:rsid w:val="00495E23"/>
    <w:rsid w:val="004B351E"/>
    <w:rsid w:val="004F4D5D"/>
    <w:rsid w:val="005177A2"/>
    <w:rsid w:val="00536128"/>
    <w:rsid w:val="005871AE"/>
    <w:rsid w:val="005958A9"/>
    <w:rsid w:val="005A456B"/>
    <w:rsid w:val="005D6F62"/>
    <w:rsid w:val="005E0E23"/>
    <w:rsid w:val="0063791A"/>
    <w:rsid w:val="0064413C"/>
    <w:rsid w:val="0064761F"/>
    <w:rsid w:val="0067350A"/>
    <w:rsid w:val="006A0DD3"/>
    <w:rsid w:val="006C7935"/>
    <w:rsid w:val="006D2A30"/>
    <w:rsid w:val="006F1918"/>
    <w:rsid w:val="00733647"/>
    <w:rsid w:val="0073611F"/>
    <w:rsid w:val="00757AE0"/>
    <w:rsid w:val="00782E8E"/>
    <w:rsid w:val="007F41D8"/>
    <w:rsid w:val="00804516"/>
    <w:rsid w:val="0082401C"/>
    <w:rsid w:val="008434B1"/>
    <w:rsid w:val="008D4736"/>
    <w:rsid w:val="0093694A"/>
    <w:rsid w:val="00942957"/>
    <w:rsid w:val="00956C81"/>
    <w:rsid w:val="00986E07"/>
    <w:rsid w:val="009A4EF1"/>
    <w:rsid w:val="009E07A7"/>
    <w:rsid w:val="009E42D8"/>
    <w:rsid w:val="009F4B45"/>
    <w:rsid w:val="00A04002"/>
    <w:rsid w:val="00A7383C"/>
    <w:rsid w:val="00A83C9C"/>
    <w:rsid w:val="00AA13A8"/>
    <w:rsid w:val="00AE22A2"/>
    <w:rsid w:val="00AE5FD7"/>
    <w:rsid w:val="00B114A5"/>
    <w:rsid w:val="00B84A76"/>
    <w:rsid w:val="00B9567F"/>
    <w:rsid w:val="00B969CC"/>
    <w:rsid w:val="00BA32E4"/>
    <w:rsid w:val="00BC4AD1"/>
    <w:rsid w:val="00BD0345"/>
    <w:rsid w:val="00C30B61"/>
    <w:rsid w:val="00C742DC"/>
    <w:rsid w:val="00C850FC"/>
    <w:rsid w:val="00C938FD"/>
    <w:rsid w:val="00CC4FF9"/>
    <w:rsid w:val="00CE3B0F"/>
    <w:rsid w:val="00D90438"/>
    <w:rsid w:val="00D92ED3"/>
    <w:rsid w:val="00D97433"/>
    <w:rsid w:val="00DA055B"/>
    <w:rsid w:val="00DA79C6"/>
    <w:rsid w:val="00DD2ED8"/>
    <w:rsid w:val="00E45F1D"/>
    <w:rsid w:val="00E5226D"/>
    <w:rsid w:val="00E9260E"/>
    <w:rsid w:val="00EA1A86"/>
    <w:rsid w:val="00F14C14"/>
    <w:rsid w:val="00F269F0"/>
    <w:rsid w:val="00F666BD"/>
    <w:rsid w:val="00F72901"/>
    <w:rsid w:val="00F93DEC"/>
    <w:rsid w:val="00FA1690"/>
    <w:rsid w:val="00FB63CD"/>
    <w:rsid w:val="00FD1E65"/>
    <w:rsid w:val="00FE1B36"/>
    <w:rsid w:val="00FE54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0166"/>
  <w15:docId w15:val="{F4CFC0BE-F66F-46E3-A97C-B0FFBC24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22A2"/>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AE22A2"/>
    <w:pPr>
      <w:spacing w:before="1"/>
      <w:ind w:left="124"/>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E22A2"/>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qFormat/>
    <w:rsid w:val="00AE22A2"/>
    <w:rPr>
      <w:sz w:val="23"/>
      <w:szCs w:val="23"/>
    </w:rPr>
  </w:style>
  <w:style w:type="character" w:customStyle="1" w:styleId="BodyTextChar">
    <w:name w:val="Body Text Char"/>
    <w:basedOn w:val="DefaultParagraphFont"/>
    <w:link w:val="BodyText"/>
    <w:uiPriority w:val="1"/>
    <w:rsid w:val="00AE22A2"/>
    <w:rPr>
      <w:rFonts w:ascii="Times New Roman" w:eastAsia="Times New Roman" w:hAnsi="Times New Roman" w:cs="Times New Roman"/>
      <w:sz w:val="23"/>
      <w:szCs w:val="23"/>
      <w:lang w:val="en-US"/>
    </w:rPr>
  </w:style>
  <w:style w:type="paragraph" w:styleId="ListParagraph">
    <w:name w:val="List Paragraph"/>
    <w:basedOn w:val="Normal"/>
    <w:uiPriority w:val="1"/>
    <w:qFormat/>
    <w:rsid w:val="00AE22A2"/>
    <w:pPr>
      <w:ind w:left="118" w:hanging="2"/>
      <w:jc w:val="both"/>
    </w:pPr>
  </w:style>
  <w:style w:type="paragraph" w:styleId="BalloonText">
    <w:name w:val="Balloon Text"/>
    <w:basedOn w:val="Normal"/>
    <w:link w:val="BalloonTextChar"/>
    <w:uiPriority w:val="99"/>
    <w:semiHidden/>
    <w:unhideWhenUsed/>
    <w:rsid w:val="00AE22A2"/>
    <w:rPr>
      <w:rFonts w:ascii="Tahoma" w:hAnsi="Tahoma" w:cs="Tahoma"/>
      <w:sz w:val="16"/>
      <w:szCs w:val="16"/>
    </w:rPr>
  </w:style>
  <w:style w:type="character" w:customStyle="1" w:styleId="BalloonTextChar">
    <w:name w:val="Balloon Text Char"/>
    <w:basedOn w:val="DefaultParagraphFont"/>
    <w:link w:val="BalloonText"/>
    <w:uiPriority w:val="99"/>
    <w:semiHidden/>
    <w:rsid w:val="00AE22A2"/>
    <w:rPr>
      <w:rFonts w:ascii="Tahoma" w:eastAsia="Times New Roman" w:hAnsi="Tahoma" w:cs="Tahoma"/>
      <w:sz w:val="16"/>
      <w:szCs w:val="16"/>
      <w:lang w:val="en-US"/>
    </w:rPr>
  </w:style>
  <w:style w:type="paragraph" w:styleId="Header">
    <w:name w:val="header"/>
    <w:basedOn w:val="Normal"/>
    <w:link w:val="HeaderChar"/>
    <w:uiPriority w:val="99"/>
    <w:unhideWhenUsed/>
    <w:rsid w:val="00C742DC"/>
    <w:pPr>
      <w:tabs>
        <w:tab w:val="center" w:pos="4513"/>
        <w:tab w:val="right" w:pos="9026"/>
      </w:tabs>
    </w:pPr>
  </w:style>
  <w:style w:type="character" w:customStyle="1" w:styleId="HeaderChar">
    <w:name w:val="Header Char"/>
    <w:basedOn w:val="DefaultParagraphFont"/>
    <w:link w:val="Header"/>
    <w:uiPriority w:val="99"/>
    <w:rsid w:val="00C742DC"/>
    <w:rPr>
      <w:rFonts w:ascii="Times New Roman" w:eastAsia="Times New Roman" w:hAnsi="Times New Roman" w:cs="Times New Roman"/>
      <w:lang w:val="en-US"/>
    </w:rPr>
  </w:style>
  <w:style w:type="paragraph" w:styleId="Footer">
    <w:name w:val="footer"/>
    <w:basedOn w:val="Normal"/>
    <w:link w:val="FooterChar"/>
    <w:uiPriority w:val="99"/>
    <w:unhideWhenUsed/>
    <w:rsid w:val="00C742DC"/>
    <w:pPr>
      <w:tabs>
        <w:tab w:val="center" w:pos="4513"/>
        <w:tab w:val="right" w:pos="9026"/>
      </w:tabs>
    </w:pPr>
  </w:style>
  <w:style w:type="character" w:customStyle="1" w:styleId="FooterChar">
    <w:name w:val="Footer Char"/>
    <w:basedOn w:val="DefaultParagraphFont"/>
    <w:link w:val="Footer"/>
    <w:uiPriority w:val="99"/>
    <w:rsid w:val="00C742DC"/>
    <w:rPr>
      <w:rFonts w:ascii="Times New Roman" w:eastAsia="Times New Roman" w:hAnsi="Times New Roman" w:cs="Times New Roman"/>
      <w:lang w:val="en-US"/>
    </w:rPr>
  </w:style>
  <w:style w:type="character" w:styleId="Hyperlink">
    <w:name w:val="Hyperlink"/>
    <w:basedOn w:val="DefaultParagraphFont"/>
    <w:uiPriority w:val="99"/>
    <w:unhideWhenUsed/>
    <w:rsid w:val="00047EEB"/>
    <w:rPr>
      <w:color w:val="0000FF" w:themeColor="hyperlink"/>
      <w:u w:val="single"/>
    </w:rPr>
  </w:style>
  <w:style w:type="character" w:styleId="UnresolvedMention">
    <w:name w:val="Unresolved Mention"/>
    <w:basedOn w:val="DefaultParagraphFont"/>
    <w:uiPriority w:val="99"/>
    <w:semiHidden/>
    <w:unhideWhenUsed/>
    <w:rsid w:val="00047EEB"/>
    <w:rPr>
      <w:color w:val="605E5C"/>
      <w:shd w:val="clear" w:color="auto" w:fill="E1DFDD"/>
    </w:rPr>
  </w:style>
  <w:style w:type="character" w:styleId="CommentReference">
    <w:name w:val="annotation reference"/>
    <w:basedOn w:val="DefaultParagraphFont"/>
    <w:uiPriority w:val="99"/>
    <w:semiHidden/>
    <w:unhideWhenUsed/>
    <w:rsid w:val="0073611F"/>
    <w:rPr>
      <w:sz w:val="16"/>
      <w:szCs w:val="16"/>
    </w:rPr>
  </w:style>
  <w:style w:type="paragraph" w:styleId="CommentText">
    <w:name w:val="annotation text"/>
    <w:basedOn w:val="Normal"/>
    <w:link w:val="CommentTextChar"/>
    <w:uiPriority w:val="99"/>
    <w:semiHidden/>
    <w:unhideWhenUsed/>
    <w:rsid w:val="0073611F"/>
    <w:rPr>
      <w:sz w:val="20"/>
      <w:szCs w:val="20"/>
    </w:rPr>
  </w:style>
  <w:style w:type="character" w:customStyle="1" w:styleId="CommentTextChar">
    <w:name w:val="Comment Text Char"/>
    <w:basedOn w:val="DefaultParagraphFont"/>
    <w:link w:val="CommentText"/>
    <w:uiPriority w:val="99"/>
    <w:semiHidden/>
    <w:rsid w:val="0073611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3611F"/>
    <w:rPr>
      <w:b/>
      <w:bCs/>
    </w:rPr>
  </w:style>
  <w:style w:type="character" w:customStyle="1" w:styleId="CommentSubjectChar">
    <w:name w:val="Comment Subject Char"/>
    <w:basedOn w:val="CommentTextChar"/>
    <w:link w:val="CommentSubject"/>
    <w:uiPriority w:val="99"/>
    <w:semiHidden/>
    <w:rsid w:val="0073611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4432">
      <w:bodyDiv w:val="1"/>
      <w:marLeft w:val="0"/>
      <w:marRight w:val="0"/>
      <w:marTop w:val="0"/>
      <w:marBottom w:val="0"/>
      <w:divBdr>
        <w:top w:val="none" w:sz="0" w:space="0" w:color="auto"/>
        <w:left w:val="none" w:sz="0" w:space="0" w:color="auto"/>
        <w:bottom w:val="none" w:sz="0" w:space="0" w:color="auto"/>
        <w:right w:val="none" w:sz="0" w:space="0" w:color="auto"/>
      </w:divBdr>
    </w:div>
    <w:div w:id="200234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qcrop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d5faae-a025-46c5-97b0-e12d02b741fe">
      <Terms xmlns="http://schemas.microsoft.com/office/infopath/2007/PartnerControls"/>
    </lcf76f155ced4ddcb4097134ff3c332f>
    <TaxCatchAll xmlns="40d028c4-5827-485e-ad89-96e18cd667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58F753926D448954A886AE82BB686" ma:contentTypeVersion="16" ma:contentTypeDescription="Create a new document." ma:contentTypeScope="" ma:versionID="7d672901c8142afdc0ee3ba8a1de8cee">
  <xsd:schema xmlns:xsd="http://www.w3.org/2001/XMLSchema" xmlns:xs="http://www.w3.org/2001/XMLSchema" xmlns:p="http://schemas.microsoft.com/office/2006/metadata/properties" xmlns:ns2="20d5faae-a025-46c5-97b0-e12d02b741fe" xmlns:ns3="40d028c4-5827-485e-ad89-96e18cd6670c" targetNamespace="http://schemas.microsoft.com/office/2006/metadata/properties" ma:root="true" ma:fieldsID="32912011e58dd2fccc15e0904bba6a2a" ns2:_="" ns3:_="">
    <xsd:import namespace="20d5faae-a025-46c5-97b0-e12d02b741fe"/>
    <xsd:import namespace="40d028c4-5827-485e-ad89-96e18cd66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5faae-a025-46c5-97b0-e12d02b74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a47b02-86fb-4bb3-92bf-4dad1237a084"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d028c4-5827-485e-ad89-96e18cd66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c2bdf-53cd-4dfc-9da1-2dfd71b623f1}" ma:internalName="TaxCatchAll" ma:showField="CatchAllData" ma:web="40d028c4-5827-485e-ad89-96e18cd66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32CD6-2DF5-4C5E-AA41-AFD4EEF0C1E5}">
  <ds:schemaRefs>
    <ds:schemaRef ds:uri="http://schemas.openxmlformats.org/officeDocument/2006/bibliography"/>
  </ds:schemaRefs>
</ds:datastoreItem>
</file>

<file path=customXml/itemProps2.xml><?xml version="1.0" encoding="utf-8"?>
<ds:datastoreItem xmlns:ds="http://schemas.openxmlformats.org/officeDocument/2006/customXml" ds:itemID="{020A8B5A-16C9-4F86-BABF-EC9188541CAF}">
  <ds:schemaRefs>
    <ds:schemaRef ds:uri="http://schemas.microsoft.com/office/2006/metadata/properties"/>
    <ds:schemaRef ds:uri="http://schemas.microsoft.com/office/infopath/2007/PartnerControls"/>
    <ds:schemaRef ds:uri="632e59bb-9565-4381-82b2-fd8976c74629"/>
  </ds:schemaRefs>
</ds:datastoreItem>
</file>

<file path=customXml/itemProps3.xml><?xml version="1.0" encoding="utf-8"?>
<ds:datastoreItem xmlns:ds="http://schemas.openxmlformats.org/officeDocument/2006/customXml" ds:itemID="{C004D202-AADA-4E90-8B53-396C60849C54}"/>
</file>

<file path=customXml/itemProps4.xml><?xml version="1.0" encoding="utf-8"?>
<ds:datastoreItem xmlns:ds="http://schemas.openxmlformats.org/officeDocument/2006/customXml" ds:itemID="{4553BFAD-4D78-45B1-99DD-D2B32C452743}"/>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dc:creator>
  <cp:lastModifiedBy>Teresa Dougall</cp:lastModifiedBy>
  <cp:revision>2</cp:revision>
  <dcterms:created xsi:type="dcterms:W3CDTF">2022-08-26T09:49:00Z</dcterms:created>
  <dcterms:modified xsi:type="dcterms:W3CDTF">2022-08-26T09:49:00Z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0x01010076A4F29111512247B8328951A6AB1C6B</vt:lpwstr>
  </property>
  <property fmtid="{D5CDD505-2E9C-101B-9397-08002B2CF9AE}" pid="3" name="MSIP_Label_0bd17655-0c7f-4353-8fc4-5808e3db8213_Enabled">
    <vt:lpwstr>true</vt:lpwstr>
  </property>
  <property fmtid="{D5CDD505-2E9C-101B-9397-08002B2CF9AE}" pid="4" name="MSIP_Label_0bd17655-0c7f-4353-8fc4-5808e3db8213_SetDate">
    <vt:lpwstr>2021-04-27T13:32:49Z</vt:lpwstr>
  </property>
  <property fmtid="{D5CDD505-2E9C-101B-9397-08002B2CF9AE}" pid="5" name="MSIP_Label_0bd17655-0c7f-4353-8fc4-5808e3db8213_Method">
    <vt:lpwstr>Privileged</vt:lpwstr>
  </property>
  <property fmtid="{D5CDD505-2E9C-101B-9397-08002B2CF9AE}" pid="6" name="MSIP_Label_0bd17655-0c7f-4353-8fc4-5808e3db8213_Name">
    <vt:lpwstr>BA and IS_0</vt:lpwstr>
  </property>
  <property fmtid="{D5CDD505-2E9C-101B-9397-08002B2CF9AE}" pid="7" name="MSIP_Label_0bd17655-0c7f-4353-8fc4-5808e3db8213_SiteId">
    <vt:lpwstr>4a3454a0-8cf4-4a9c-b1c0-6ce4d1495f82</vt:lpwstr>
  </property>
  <property fmtid="{D5CDD505-2E9C-101B-9397-08002B2CF9AE}" pid="8" name="MSIP_Label_0bd17655-0c7f-4353-8fc4-5808e3db8213_ActionId">
    <vt:lpwstr>407c03a8-4b36-4747-8570-0000510b064e</vt:lpwstr>
  </property>
  <property fmtid="{D5CDD505-2E9C-101B-9397-08002B2CF9AE}" pid="9" name="MSIP_Label_0bd17655-0c7f-4353-8fc4-5808e3db8213_ContentBits">
    <vt:lpwstr>0</vt:lpwstr>
  </property>
  <property fmtid="{D5CDD505-2E9C-101B-9397-08002B2CF9AE}" pid="10" name="LR_Classification">
    <vt:lpwstr>Confidential - Client \ BA and IS</vt:lpwstr>
  </property>
  <property fmtid="{D5CDD505-2E9C-101B-9397-08002B2CF9AE}" pid="11" name="Order">
    <vt:r8>6893100</vt:r8>
  </property>
  <property fmtid="{D5CDD505-2E9C-101B-9397-08002B2CF9AE}" pid="12" name="_ExtendedDescription">
    <vt:lpwstr/>
  </property>
  <property fmtid="{D5CDD505-2E9C-101B-9397-08002B2CF9AE}" pid="13" name="MSIP_Label_3ab6f4a6-303a-44f1-b38a-622af11c1484_Enabled">
    <vt:lpwstr>true</vt:lpwstr>
  </property>
  <property fmtid="{D5CDD505-2E9C-101B-9397-08002B2CF9AE}" pid="14" name="MSIP_Label_3ab6f4a6-303a-44f1-b38a-622af11c1484_SetDate">
    <vt:lpwstr>2022-04-19T15:33:13Z</vt:lpwstr>
  </property>
  <property fmtid="{D5CDD505-2E9C-101B-9397-08002B2CF9AE}" pid="15" name="MSIP_Label_3ab6f4a6-303a-44f1-b38a-622af11c1484_Method">
    <vt:lpwstr>Standard</vt:lpwstr>
  </property>
  <property fmtid="{D5CDD505-2E9C-101B-9397-08002B2CF9AE}" pid="16" name="MSIP_Label_3ab6f4a6-303a-44f1-b38a-622af11c1484_Name">
    <vt:lpwstr>Confidential</vt:lpwstr>
  </property>
  <property fmtid="{D5CDD505-2E9C-101B-9397-08002B2CF9AE}" pid="17" name="MSIP_Label_3ab6f4a6-303a-44f1-b38a-622af11c1484_SiteId">
    <vt:lpwstr>b51312b3-1a7b-4033-827b-6794ad5e9e4b</vt:lpwstr>
  </property>
  <property fmtid="{D5CDD505-2E9C-101B-9397-08002B2CF9AE}" pid="18" name="MSIP_Label_3ab6f4a6-303a-44f1-b38a-622af11c1484_ActionId">
    <vt:lpwstr>36ad3802-7a89-4881-b03a-1c1dc8d283a9</vt:lpwstr>
  </property>
  <property fmtid="{D5CDD505-2E9C-101B-9397-08002B2CF9AE}" pid="19" name="MSIP_Label_3ab6f4a6-303a-44f1-b38a-622af11c1484_ContentBits">
    <vt:lpwstr>0</vt:lpwstr>
  </property>
</Properties>
</file>